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Economic Moat Examples: How Durable Advantages Work</w:t>
      </w:r>
    </w:p>
    <w:p>
      <w:pPr>
        <w:spacing w:after="200"/>
      </w:pPr>
      <w:r>
        <w:rPr>
          <w:rFonts w:ascii="Georgia" w:cs="Georgia" w:eastAsia="Georgia" w:hAnsi="Georgia"/>
          <w:sz w:val="23"/>
          <w:szCs w:val="23"/>
        </w:rPr>
        <w:t xml:space="preserve">Definitions of a competitive moat are useful, but they stay abstract until they're attached to real businesses. The examples below span different moat types on purpose: brand strength, network effects, and a technology barrier so narrow it approaches an outright monopoly in its niche. What they share is that each advantage has held up over years, not one good product cycle.</w:t>
      </w:r>
    </w:p>
    <w:p>
      <w:pPr>
        <w:pStyle w:val="Heading2"/>
        <w:spacing w:after="140" w:before="260"/>
      </w:pPr>
      <w:r>
        <w:rPr>
          <w:rFonts w:ascii="Georgia" w:cs="Georgia" w:eastAsia="Georgia" w:hAnsi="Georgia"/>
          <w:b/>
          <w:bCs/>
          <w:sz w:val="26"/>
          <w:szCs w:val="26"/>
        </w:rPr>
        <w:t xml:space="preserve">Coca-Cola: Brand as a Moat</w:t>
      </w:r>
    </w:p>
    <w:p>
      <w:pPr>
        <w:spacing w:after="200"/>
      </w:pPr>
      <w:r>
        <w:rPr>
          <w:rFonts w:ascii="Georgia" w:cs="Georgia" w:eastAsia="Georgia" w:hAnsi="Georgia"/>
          <w:sz w:val="23"/>
          <w:szCs w:val="23"/>
        </w:rPr>
        <w:t xml:space="preserve">Coca-Cola is the example Warren Buffett himself has pointed to repeatedly, and Berkshire Hathaway has held a large stake in the company since 1988. The moat isn't the formula, cola recipes are not particularly hard to approximate, it's that Coca-Cola has spent over a century building a brand strong enough that a large share of consumers reach for it out of preference rather than price comparison. That preference is what lets the company maintain shelf space, pricing, and distribution relationships that a new cola brand, even a cheaper or arguably comparable one, struggles to dislodge.</w:t>
      </w:r>
    </w:p>
    <w:p>
      <w:pPr>
        <w:pStyle w:val="Heading2"/>
        <w:spacing w:after="140" w:before="260"/>
      </w:pPr>
      <w:r>
        <w:rPr>
          <w:rFonts w:ascii="Georgia" w:cs="Georgia" w:eastAsia="Georgia" w:hAnsi="Georgia"/>
          <w:b/>
          <w:bCs/>
          <w:sz w:val="26"/>
          <w:szCs w:val="26"/>
        </w:rPr>
        <w:t xml:space="preserve">Visa and Mastercard: Network Effects as a Moat</w:t>
      </w:r>
    </w:p>
    <w:p>
      <w:pPr>
        <w:spacing w:after="200"/>
      </w:pPr>
      <w:r>
        <w:rPr>
          <w:rFonts w:ascii="Georgia" w:cs="Georgia" w:eastAsia="Georgia" w:hAnsi="Georgia"/>
          <w:sz w:val="23"/>
          <w:szCs w:val="23"/>
        </w:rPr>
        <w:t xml:space="preserve">Payment networks are a textbook two-sided network effect. A card network becomes more useful to cardholders as more merchants accept it, and more useful to merchants as more cardholders carry it. That loop is difficult for a new entrant to break into from scratch: a new network needs both sides at once, merchants who won't accept a card few customers carry, and customers who won't carry a card few merchants accept. Visa and Mastercard built that two-sided density over decades, which is a large part of why global payment networks have stayed concentrated among a small number of incumbents rather than fragmenting as new entrants have tried to compete.</w:t>
      </w:r>
    </w:p>
    <w:p>
      <w:pPr>
        <w:pStyle w:val="Heading2"/>
        <w:spacing w:after="140" w:before="260"/>
      </w:pPr>
      <w:r>
        <w:rPr>
          <w:rFonts w:ascii="Georgia" w:cs="Georgia" w:eastAsia="Georgia" w:hAnsi="Georgia"/>
          <w:b/>
          <w:bCs/>
          <w:sz w:val="26"/>
          <w:szCs w:val="26"/>
        </w:rPr>
        <w:t xml:space="preserve">ASML: A Technology Barrier Narrow Enough to Approach a Monopoly</w:t>
      </w:r>
    </w:p>
    <w:p>
      <w:pPr>
        <w:spacing w:after="200"/>
      </w:pPr>
      <w:r>
        <w:rPr>
          <w:rFonts w:ascii="Georgia" w:cs="Georgia" w:eastAsia="Georgia" w:hAnsi="Georgia"/>
          <w:sz w:val="23"/>
          <w:szCs w:val="23"/>
        </w:rPr>
        <w:t xml:space="preserve">ASML is a less familiar name to most investors than Coca-Cola or Visa, but it's arguably the starkest example of a barrier-to-entry moat. The company is the sole maker of the extreme ultraviolet, or EUV, lithography machines that chipmakers need to manufacture the most advanced semiconductors. That position wasn't won on brand or customer habit; it came from decades of accumulated, extraordinarily difficult engineering that no competitor has yet replicated. For any chipmaker that needs cutting-edge manufacturing capability, there is effectively one supplier, which is about as concentrated as a moat gets without becoming a literal legal monopoly.</w:t>
      </w:r>
    </w:p>
    <w:p>
      <w:pPr>
        <w:pStyle w:val="Heading2"/>
        <w:spacing w:after="140" w:before="260"/>
      </w:pPr>
      <w:r>
        <w:rPr>
          <w:rFonts w:ascii="Georgia" w:cs="Georgia" w:eastAsia="Georgia" w:hAnsi="Georgia"/>
          <w:b/>
          <w:bCs/>
          <w:sz w:val="26"/>
          <w:szCs w:val="26"/>
        </w:rPr>
        <w:t xml:space="preserve">What These Examples Have in Common</w:t>
      </w:r>
    </w:p>
    <w:p>
      <w:pPr>
        <w:spacing w:after="200"/>
      </w:pPr>
      <w:r>
        <w:rPr>
          <w:rFonts w:ascii="Georgia" w:cs="Georgia" w:eastAsia="Georgia" w:hAnsi="Georgia"/>
          <w:sz w:val="23"/>
          <w:szCs w:val="23"/>
        </w:rPr>
        <w:t xml:space="preserve">None of these companies is invulnerable, and none of their advantages come from a single source in isolation. Coca-Cola's brand is reinforced by scale and distribution; Visa and Mastercard's network effect is reinforced by regulatory relationships and trust built over decades; ASML's technology barrier is reinforced by patents and an ecosystem of specialized suppliers that would be nearly as hard to replicate as the machines themselves. That layering, one advantage reinforcing another rather than standing alone, is a common thread in moats that have actually lasted, as opposed to an edge that looks durable for a year or two before a well-funded competitor closes the gap.</w:t>
      </w:r>
    </w:p>
    <w:p>
      <w:pPr>
        <w:pStyle w:val="Heading2"/>
        <w:spacing w:after="140" w:before="260"/>
      </w:pPr>
      <w:r>
        <w:rPr>
          <w:rFonts w:ascii="Georgia" w:cs="Georgia" w:eastAsia="Georgia" w:hAnsi="Georgia"/>
          <w:b/>
          <w:bCs/>
          <w:sz w:val="26"/>
          <w:szCs w:val="26"/>
        </w:rPr>
        <w:t xml:space="preserve">How MPLY's Criteria Show Up in These Same Examples</w:t>
      </w:r>
    </w:p>
    <w:p>
      <w:pPr>
        <w:spacing w:after="200"/>
      </w:pPr>
      <w:r>
        <w:rPr>
          <w:rFonts w:ascii="Georgia" w:cs="Georgia" w:eastAsia="Georgia" w:hAnsi="Georgia"/>
          <w:sz w:val="23"/>
          <w:szCs w:val="23"/>
        </w:rPr>
        <w:t xml:space="preserve">All three companies illustrate characteristics named directly in the Strategy Shares Monopoly ETF's (MPLY) stated screening criteria. Coca-Cola maps to brand dominance. Visa and Mastercard map to network effects and, given how concentrated global card payments are among a handful of networks, industry concentration. ASML maps to high barriers to market entry and protected intellectual property, arguably the cleanest real-world example available of what the fund's criteria are trying to capture.</w:t>
      </w:r>
    </w:p>
    <w:p>
      <w:pPr>
        <w:spacing w:after="200"/>
      </w:pPr>
      <w:r>
        <w:rPr>
          <w:rFonts w:ascii="Georgia" w:cs="Georgia" w:eastAsia="Georgia" w:hAnsi="Georgia"/>
          <w:sz w:val="23"/>
          <w:szCs w:val="23"/>
        </w:rPr>
        <w:t xml:space="preserve">These three are used here as illustrations of the underlying characteristics, not as a claim about MPLY's actual portfolio; the fund holds 100 positions that change over time, and confirming whether any specific company is currently held requires checking the fund's own holdings list rather than assuming it from the characteristics alone. Readers who want to see which companies MPLY currently holds, and how closely they resemble these examples, can review </w:t>
      </w:r>
      <w:hyperlink w:history="1" r:id="rIdlugom2mnyxmw_fjnsj3ix">
        <w:r>
          <w:rPr>
            <w:rFonts w:ascii="Georgia" w:cs="Georgia" w:eastAsia="Georgia" w:hAnsi="Georgia"/>
            <w:color w:val="1155CC"/>
            <w:sz w:val="23"/>
            <w:szCs w:val="23"/>
            <w:u w:val="single"/>
          </w:rPr>
          <w:t xml:space="preserve">the fund's current holdings</w:t>
        </w:r>
      </w:hyperlink>
      <w:r>
        <w:rPr>
          <w:rFonts w:ascii="Georgia" w:cs="Georgia" w:eastAsia="Georgia" w:hAnsi="Georgia"/>
          <w:sz w:val="23"/>
          <w:szCs w:val="23"/>
        </w:rPr>
        <w:t xml:space="preserve"> directly on its official page.</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jflrzkctadjy2tta_5rtx">
        <w:r>
          <w:rPr>
            <w:rFonts w:ascii="Georgia" w:cs="Georgia" w:eastAsia="Georgia" w:hAnsi="Georgia"/>
            <w:color w:val="1155CC"/>
            <w:sz w:val="23"/>
            <w:szCs w:val="23"/>
            <w:u w:val="single"/>
          </w:rPr>
          <w:t xml:space="preserve">Wikipedia, "Economic moat" (Buffett's use of the term; Berkshire's Coca-Cola stake)</w:t>
        </w:r>
      </w:hyperlink>
    </w:p>
    <w:p>
      <w:pPr>
        <w:pStyle w:val="ListParagraph"/>
        <w:numPr>
          <w:ilvl w:val="0"/>
          <w:numId w:val="1"/>
        </w:numPr>
        <w:spacing w:after="100"/>
      </w:pPr>
      <w:hyperlink w:history="1" r:id="rIdvbq4-59aiuiprsyso9tau">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#EconomicMoat #CompetitiveAdvantage #BrandMoat #NetworkEffects #MPLY #Investing #ValueInvesting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ugom2mnyxmw_fjnsj3ix" Type="http://schemas.openxmlformats.org/officeDocument/2006/relationships/hyperlink" Target="https://strategysharesetfs.com/mply/" TargetMode="External"/><Relationship Id="rIdjflrzkctadjy2tta_5rtx" Type="http://schemas.openxmlformats.org/officeDocument/2006/relationships/hyperlink" Target="https://en.wikipedia.org/wiki/Economic_moat" TargetMode="External"/><Relationship Id="rIdvbq4-59aiuiprsyso9tau" Type="http://schemas.openxmlformats.org/officeDocument/2006/relationships/hyperlink" Target="https://strategysharesetfs.com/mpl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2026-09-23T09:47:35.675Z</dcterms:created>
  <dcterms:modified xsi:type="dcterms:W3CDTF">2026-09-23T09:47:35.675Z</dcterms:modified>
</cp:coreProperties>
</file>

<file path=docProps/custom.xml><?xml version="1.0" encoding="utf-8"?>
<Properties xmlns="http://schemas.openxmlformats.org/officeDocument/2006/custom-properties" xmlns:vt="http://schemas.openxmlformats.org/officeDocument/2006/docPropsVTypes"/>
</file>