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Are Switching Costs and Why Do They Matter</w:t>
      </w:r>
    </w:p>
    <w:p>
      <w:pPr>
        <w:spacing w:after="200"/>
      </w:pPr>
      <w:r>
        <w:rPr>
          <w:rFonts w:ascii="Georgia" w:cs="Georgia" w:eastAsia="Georgia" w:hAnsi="Georgia"/>
          <w:sz w:val="23"/>
          <w:szCs w:val="23"/>
        </w:rPr>
        <w:t xml:space="preserve">Switching costs are what a customer gives up, spends, or risks by leaving one provider for another, on top of the sticker price of the new provider's product. They can be measured in dollars, time, or simple inconvenience, but the effect on a business is the same either way: a customer who would genuinely prefer a competitor's product may still stay put because leaving costs more than staying.</w:t>
      </w:r>
    </w:p>
    <w:p>
      <w:pPr>
        <w:pStyle w:val="Heading2"/>
        <w:spacing w:after="140" w:before="260"/>
      </w:pPr>
      <w:r>
        <w:rPr>
          <w:rFonts w:ascii="Georgia" w:cs="Georgia" w:eastAsia="Georgia" w:hAnsi="Georgia"/>
          <w:b/>
          <w:bCs/>
          <w:sz w:val="26"/>
          <w:szCs w:val="26"/>
        </w:rPr>
        <w:t xml:space="preserve">The Problem Switching Costs Solve for a Business</w:t>
      </w:r>
    </w:p>
    <w:p>
      <w:pPr>
        <w:spacing w:after="200"/>
      </w:pPr>
      <w:r>
        <w:rPr>
          <w:rFonts w:ascii="Georgia" w:cs="Georgia" w:eastAsia="Georgia" w:hAnsi="Georgia"/>
          <w:sz w:val="23"/>
          <w:szCs w:val="23"/>
        </w:rPr>
        <w:t xml:space="preserve">Without something holding customers in place, a business is only ever as good as its last interaction with each one. A better price or product from a competitor should, in theory, move demand instantly. Switching costs break that theory in practice by attaching a cost to the act of leaving itself, separate from how good the alternative is. That is what allows a company to retain customers even through a period of relative underperformance, a price increase, or a competitor's genuinely superior offering.</w:t>
      </w:r>
    </w:p>
    <w:p>
      <w:pPr>
        <w:pStyle w:val="Heading2"/>
        <w:spacing w:after="140" w:before="260"/>
      </w:pPr>
      <w:r>
        <w:rPr>
          <w:rFonts w:ascii="Georgia" w:cs="Georgia" w:eastAsia="Georgia" w:hAnsi="Georgia"/>
          <w:b/>
          <w:bCs/>
          <w:sz w:val="26"/>
          <w:szCs w:val="26"/>
        </w:rPr>
        <w:t xml:space="preserve">How Switching Costs Actually Work</w:t>
      </w:r>
    </w:p>
    <w:p>
      <w:pPr>
        <w:spacing w:after="200"/>
      </w:pPr>
      <w:r>
        <w:rPr>
          <w:rFonts w:ascii="Georgia" w:cs="Georgia" w:eastAsia="Georgia" w:hAnsi="Georgia"/>
          <w:sz w:val="23"/>
          <w:szCs w:val="23"/>
        </w:rPr>
        <w:t xml:space="preserve">The mechanism varies by category. Enterprise software is one of the clearest cases: a company that has run its finance, supply chain, and payroll operations on a system like SAP for a decade has trained staff, built custom integrations, and stored years of historical data inside it. Migrating to a competitor isn't a purchasing decision, it's a multi-year project with real failure risk, which is why enterprise software vendors can retain customers through price increases that would sink a consumer product overnight. Consumer banking works through a quieter version of the same mechanism: most people rarely switch primary banks even when a competitor offers a better rate, because moving direct deposits, automatic bill payments, and linked accounts is tedious enough that the switch gets postponed indefinitely, not because the incumbent bank is winning on merit.</w:t>
      </w:r>
    </w:p>
    <w:p>
      <w:pPr>
        <w:pStyle w:val="Heading2"/>
        <w:spacing w:after="140" w:before="260"/>
      </w:pPr>
      <w:r>
        <w:rPr>
          <w:rFonts w:ascii="Georgia" w:cs="Georgia" w:eastAsia="Georgia" w:hAnsi="Georgia"/>
          <w:b/>
          <w:bCs/>
          <w:sz w:val="26"/>
          <w:szCs w:val="26"/>
        </w:rPr>
        <w:t xml:space="preserve">Financial Evidence to Look For</w:t>
      </w:r>
    </w:p>
    <w:p>
      <w:pPr>
        <w:spacing w:after="200"/>
      </w:pPr>
      <w:r>
        <w:rPr>
          <w:rFonts w:ascii="Georgia" w:cs="Georgia" w:eastAsia="Georgia" w:hAnsi="Georgia"/>
          <w:sz w:val="23"/>
          <w:szCs w:val="23"/>
        </w:rPr>
        <w:t xml:space="preserve">Switching costs tend to show up as unusually low customer churn relative to a company's actual product satisfaction scores, or as pricing power that persists even when competitors are objectively similar on features. Net revenue retention above 100%, meaning existing customers spend more over time rather than less, is another common signal in subscription businesses, since it implies customers are choosing to deepen a relationship rather than looking for an exit.</w:t>
      </w:r>
    </w:p>
    <w:p>
      <w:pPr>
        <w:pStyle w:val="Heading2"/>
        <w:spacing w:after="140" w:before="260"/>
      </w:pPr>
      <w:r>
        <w:rPr>
          <w:rFonts w:ascii="Georgia" w:cs="Georgia" w:eastAsia="Georgia" w:hAnsi="Georgia"/>
          <w:b/>
          <w:bCs/>
          <w:sz w:val="26"/>
          <w:szCs w:val="26"/>
        </w:rPr>
        <w:t xml:space="preserve">Where Switching Costs Break Down</w:t>
      </w:r>
    </w:p>
    <w:p>
      <w:pPr>
        <w:spacing w:after="200"/>
      </w:pPr>
      <w:r>
        <w:rPr>
          <w:rFonts w:ascii="Georgia" w:cs="Georgia" w:eastAsia="Georgia" w:hAnsi="Georgia"/>
          <w:sz w:val="23"/>
          <w:szCs w:val="23"/>
        </w:rPr>
        <w:t xml:space="preserve">The mechanism has real limits. Switching costs slow an exit; they don't prevent one indefinitely, especially once a gap in quality or price becomes large enough that customers tolerate the hassle of leaving. Regulation can also directly target switching costs: mobile number portability rules, for instance, were introduced specifically because keeping a phone number tied to one carrier was recognized as an artificial barrier to competition rather than a real product advantage, and once portability became mandatory, some of that particular switching cost disappeared by law rather than by market forces.</w:t>
      </w:r>
    </w:p>
    <w:p>
      <w:pPr>
        <w:pStyle w:val="Heading2"/>
        <w:spacing w:after="140" w:before="260"/>
      </w:pPr>
      <w:r>
        <w:rPr>
          <w:rFonts w:ascii="Georgia" w:cs="Georgia" w:eastAsia="Georgia" w:hAnsi="Georgia"/>
          <w:b/>
          <w:bCs/>
          <w:sz w:val="26"/>
          <w:szCs w:val="26"/>
        </w:rPr>
        <w:t xml:space="preserve">How This Connects to MPLY's Screening Approach</w:t>
      </w:r>
    </w:p>
    <w:p>
      <w:pPr>
        <w:spacing w:after="200"/>
      </w:pPr>
      <w:r>
        <w:rPr>
          <w:rFonts w:ascii="Georgia" w:cs="Georgia" w:eastAsia="Georgia" w:hAnsi="Georgia"/>
          <w:sz w:val="23"/>
          <w:szCs w:val="23"/>
        </w:rPr>
        <w:t xml:space="preserve">Switching costs aren't named on their own in the Strategy Shares Monopoly ETF's (MPLY) stated criteria the way brand dominance or network effects are, but they're one of the more common mechanisms behind two criteria that are: industry concentration and pricing power. A business that can lock in customers through genuine switching costs is better positioned to hold pricing power without losing volume, and an industry where every major player benefits from similar lock-in tends to stay concentrated among incumbents rather than churning through new entrants.</w:t>
      </w:r>
    </w:p>
    <w:p>
      <w:pPr>
        <w:spacing w:after="200"/>
      </w:pPr>
      <w:r>
        <w:rPr>
          <w:rFonts w:ascii="Georgia" w:cs="Georgia" w:eastAsia="Georgia" w:hAnsi="Georgia"/>
          <w:sz w:val="23"/>
          <w:szCs w:val="23"/>
        </w:rPr>
        <w:t xml:space="preserve">The evaluation question is the same one that applies to any moat source: is the switching cost structural, built into the product or workflow itself, or is it a temporary inconvenience a well-funded, patient competitor could design away. Regulation is also a real risk to this particular mechanism specifically, as number portability shows, a switching cost that exists only because leaving is inconvenient can be legislated away, while one built into the actual product or workflow generally cannot. Readers interested in how MPLY weighs that distinction can review </w:t>
      </w:r>
      <w:hyperlink w:history="1" r:id="rId2a62kj_nqckr_dlhru91d">
        <w:r>
          <w:rPr>
            <w:rFonts w:ascii="Georgia" w:cs="Georgia" w:eastAsia="Georgia" w:hAnsi="Georgia"/>
            <w:color w:val="1155CC"/>
            <w:sz w:val="23"/>
            <w:szCs w:val="23"/>
            <w:u w:val="single"/>
          </w:rPr>
          <w:t xml:space="preserve">the fund's investment approach</w:t>
        </w:r>
      </w:hyperlink>
      <w:r>
        <w:rPr>
          <w:rFonts w:ascii="Georgia" w:cs="Georgia" w:eastAsia="Georgia" w:hAnsi="Georgia"/>
          <w:sz w:val="23"/>
          <w:szCs w:val="23"/>
        </w:rPr>
        <w:t xml:space="preserve"> on its official page.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8_qy4ovqellndww3vmj4m">
        <w:r>
          <w:rPr>
            <w:rFonts w:ascii="Georgia" w:cs="Georgia" w:eastAsia="Georgia" w:hAnsi="Georgia"/>
            <w:color w:val="1155CC"/>
            <w:sz w:val="23"/>
            <w:szCs w:val="23"/>
            <w:u w:val="single"/>
          </w:rPr>
          <w:t xml:space="preserve">FCC, mobile number portability rules (regulatory removal of a carrier-switching cost)</w:t>
        </w:r>
      </w:hyperlink>
    </w:p>
    <w:p>
      <w:pPr>
        <w:spacing w:after="0" w:before="280"/>
      </w:pPr>
      <w:r>
        <w:rPr>
          <w:rFonts w:ascii="Georgia" w:cs="Georgia" w:eastAsia="Georgia" w:hAnsi="Georgia"/>
          <w:color w:val="1F4E78"/>
          <w:sz w:val="22"/>
          <w:szCs w:val="22"/>
        </w:rPr>
        <w:t xml:space="preserve">#SwitchingCosts #EconomicMoat #CompetitiveAdvantage #CustomerRetention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a62kj_nqckr_dlhru91d" Type="http://schemas.openxmlformats.org/officeDocument/2006/relationships/hyperlink" Target="https://strategysharesetfs.com/mply/" TargetMode="External"/><Relationship Id="rId8_qy4ovqellndww3vmj4m" Type="http://schemas.openxmlformats.org/officeDocument/2006/relationships/hyperlink" Target="https://www.fcc.gov/general/wireless-local-number-portability-wln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2026-09-23T09:47:35.697Z</dcterms:created>
  <dcterms:modified xsi:type="dcterms:W3CDTF">2026-09-23T09:47:35.697Z</dcterms:modified>
</cp:coreProperties>
</file>

<file path=docProps/custom.xml><?xml version="1.0" encoding="utf-8"?>
<Properties xmlns="http://schemas.openxmlformats.org/officeDocument/2006/custom-properties" xmlns:vt="http://schemas.openxmlformats.org/officeDocument/2006/docPropsVTypes"/>
</file>