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Are Barriers to Entry in Business</w:t>
      </w:r>
    </w:p>
    <w:p>
      <w:pPr>
        <w:spacing w:after="200"/>
      </w:pPr>
      <w:r>
        <w:rPr>
          <w:rFonts w:ascii="Georgia" w:cs="Georgia" w:eastAsia="Georgia" w:hAnsi="Georgia"/>
          <w:sz w:val="23"/>
          <w:szCs w:val="23"/>
        </w:rPr>
        <w:t xml:space="preserve">A barrier to entry is anything that makes it difficult or expensive for a new competitor to start competing in a market. Where a moat describes protection for a company already established in a market, barriers to entry describe protection for the entire industry: they're the reason a market stays concentrated among a small number of players even when the incumbents are earning attractive returns that should, in theory, invite new competition.</w:t>
      </w:r>
    </w:p>
    <w:p>
      <w:pPr>
        <w:pStyle w:val="Heading2"/>
        <w:spacing w:after="140" w:before="260"/>
      </w:pPr>
      <w:r>
        <w:rPr>
          <w:rFonts w:ascii="Georgia" w:cs="Georgia" w:eastAsia="Georgia" w:hAnsi="Georgia"/>
          <w:b/>
          <w:bCs/>
          <w:sz w:val="26"/>
          <w:szCs w:val="26"/>
        </w:rPr>
        <w:t xml:space="preserve">What to Examine First: Capital Requirements</w:t>
      </w:r>
    </w:p>
    <w:p>
      <w:pPr>
        <w:spacing w:after="200"/>
      </w:pPr>
      <w:r>
        <w:rPr>
          <w:rFonts w:ascii="Georgia" w:cs="Georgia" w:eastAsia="Georgia" w:hAnsi="Georgia"/>
          <w:sz w:val="23"/>
          <w:szCs w:val="23"/>
        </w:rPr>
        <w:t xml:space="preserve">Some industries require enormous upfront investment before a new entrant can generate a single dollar of revenue. Building a semiconductor fabrication plant, launching a satellite network, or constructing a nationwide telecom infrastructure each costs billions of dollars before a competitor can even begin competing for customers. That upfront cost alone eliminates the vast majority of potential challengers, regardless of how good their underlying technology or business idea might be.</w:t>
      </w:r>
    </w:p>
    <w:p>
      <w:pPr>
        <w:pStyle w:val="Heading2"/>
        <w:spacing w:after="140" w:before="260"/>
      </w:pPr>
      <w:r>
        <w:rPr>
          <w:rFonts w:ascii="Georgia" w:cs="Georgia" w:eastAsia="Georgia" w:hAnsi="Georgia"/>
          <w:b/>
          <w:bCs/>
          <w:sz w:val="26"/>
          <w:szCs w:val="26"/>
        </w:rPr>
        <w:t xml:space="preserve">Regulatory and Licensing Barriers</w:t>
      </w:r>
    </w:p>
    <w:p>
      <w:pPr>
        <w:spacing w:after="200"/>
      </w:pPr>
      <w:r>
        <w:rPr>
          <w:rFonts w:ascii="Georgia" w:cs="Georgia" w:eastAsia="Georgia" w:hAnsi="Georgia"/>
          <w:sz w:val="23"/>
          <w:szCs w:val="23"/>
        </w:rPr>
        <w:t xml:space="preserve">Some markets require government permission to operate at all. Wireless carriers need spectrum licenses allocated through government auctions, a fixed and limited resource that can't simply be created to accommodate a new entrant. Pharmaceutical companies need regulatory approval that requires years of clinical trials before a new drug can be sold. Banks need banking charters. In each case, the barrier isn't really about the incumbents' skill; it's that the government has deliberately limited how many competitors can exist, which is a structurally different, often more durable kind of protection than a company earning its position purely through better execution.</w:t>
      </w:r>
    </w:p>
    <w:p>
      <w:pPr>
        <w:pStyle w:val="Heading2"/>
        <w:spacing w:after="140" w:before="260"/>
      </w:pPr>
      <w:r>
        <w:rPr>
          <w:rFonts w:ascii="Georgia" w:cs="Georgia" w:eastAsia="Georgia" w:hAnsi="Georgia"/>
          <w:b/>
          <w:bCs/>
          <w:sz w:val="26"/>
          <w:szCs w:val="26"/>
        </w:rPr>
        <w:t xml:space="preserve">Economies of Scale as a Barrier</w:t>
      </w:r>
    </w:p>
    <w:p>
      <w:pPr>
        <w:spacing w:after="200"/>
      </w:pPr>
      <w:r>
        <w:rPr>
          <w:rFonts w:ascii="Georgia" w:cs="Georgia" w:eastAsia="Georgia" w:hAnsi="Georgia"/>
          <w:sz w:val="23"/>
          <w:szCs w:val="23"/>
        </w:rPr>
        <w:t xml:space="preserve">A market can also be too small, relative to the fixed costs of competing in it, to profitably support more than a handful of players. If two incumbents already serve a region efficiently at scale, a new entrant would need to win enough customers to reach a comparable cost structure before it could compete on price, and getting there typically means losing money for years while building that scale. Utilities and regional infrastructure businesses are the clearest examples: a third competing power grid or water system in the same city rarely makes economic sense for anyone to build, which is itself the barrier.</w:t>
      </w:r>
    </w:p>
    <w:p>
      <w:pPr>
        <w:pStyle w:val="Heading2"/>
        <w:spacing w:after="140" w:before="260"/>
      </w:pPr>
      <w:r>
        <w:rPr>
          <w:rFonts w:ascii="Georgia" w:cs="Georgia" w:eastAsia="Georgia" w:hAnsi="Georgia"/>
          <w:b/>
          <w:bCs/>
          <w:sz w:val="26"/>
          <w:szCs w:val="26"/>
        </w:rPr>
        <w:t xml:space="preserve">Questions to Ask When Evaluating a Barrier</w:t>
      </w:r>
    </w:p>
    <w:p>
      <w:pPr>
        <w:pStyle w:val="ListParagraph"/>
        <w:numPr>
          <w:ilvl w:val="0"/>
          <w:numId w:val="1"/>
        </w:numPr>
        <w:spacing w:after="100"/>
      </w:pPr>
      <w:r>
        <w:rPr>
          <w:rFonts w:ascii="Georgia" w:cs="Georgia" w:eastAsia="Georgia" w:hAnsi="Georgia"/>
          <w:sz w:val="23"/>
          <w:szCs w:val="23"/>
        </w:rPr>
        <w:t xml:space="preserve">Is the barrier structural (capital, regulation, physical scarcity) or just a temporary head start incumbents happen to have right now?</w:t>
      </w:r>
    </w:p>
    <w:p>
      <w:pPr>
        <w:pStyle w:val="ListParagraph"/>
        <w:numPr>
          <w:ilvl w:val="0"/>
          <w:numId w:val="1"/>
        </w:numPr>
        <w:spacing w:after="100"/>
      </w:pPr>
      <w:r>
        <w:rPr>
          <w:rFonts w:ascii="Georgia" w:cs="Georgia" w:eastAsia="Georgia" w:hAnsi="Georgia"/>
          <w:sz w:val="23"/>
          <w:szCs w:val="23"/>
        </w:rPr>
        <w:t xml:space="preserve">Would meaningfully more capital or time actually let a well-funded new entrant clear the barrier, or does the barrier hold regardless of resources?</w:t>
      </w:r>
    </w:p>
    <w:p>
      <w:pPr>
        <w:pStyle w:val="ListParagraph"/>
        <w:numPr>
          <w:ilvl w:val="0"/>
          <w:numId w:val="1"/>
        </w:numPr>
        <w:spacing w:after="100"/>
      </w:pPr>
      <w:r>
        <w:rPr>
          <w:rFonts w:ascii="Georgia" w:cs="Georgia" w:eastAsia="Georgia" w:hAnsi="Georgia"/>
          <w:sz w:val="23"/>
          <w:szCs w:val="23"/>
        </w:rPr>
        <w:t xml:space="preserve">Is the barrier protecting the whole industry, or just one company's position within an industry that a well-capitalized rival could still enter?</w:t>
      </w:r>
    </w:p>
    <w:p>
      <w:pPr>
        <w:pStyle w:val="ListParagraph"/>
        <w:numPr>
          <w:ilvl w:val="0"/>
          <w:numId w:val="1"/>
        </w:numPr>
        <w:spacing w:after="100"/>
      </w:pPr>
      <w:r>
        <w:rPr>
          <w:rFonts w:ascii="Georgia" w:cs="Georgia" w:eastAsia="Georgia" w:hAnsi="Georgia"/>
          <w:sz w:val="23"/>
          <w:szCs w:val="23"/>
        </w:rPr>
        <w:t xml:space="preserve">Has a barrier like this one been weakened or removed by regulation or technology change in a comparable industry before?</w:t>
      </w:r>
    </w:p>
    <w:p>
      <w:pPr>
        <w:pStyle w:val="Heading2"/>
        <w:spacing w:after="140" w:before="260"/>
      </w:pPr>
      <w:r>
        <w:rPr>
          <w:rFonts w:ascii="Georgia" w:cs="Georgia" w:eastAsia="Georgia" w:hAnsi="Georgia"/>
          <w:b/>
          <w:bCs/>
          <w:sz w:val="26"/>
          <w:szCs w:val="26"/>
        </w:rPr>
        <w:t xml:space="preserve">Warning Signs the Barrier Is Weaker Than It Looks</w:t>
      </w:r>
    </w:p>
    <w:p>
      <w:pPr>
        <w:spacing w:after="200"/>
      </w:pPr>
      <w:r>
        <w:rPr>
          <w:rFonts w:ascii="Georgia" w:cs="Georgia" w:eastAsia="Georgia" w:hAnsi="Georgia"/>
          <w:sz w:val="23"/>
          <w:szCs w:val="23"/>
        </w:rPr>
        <w:t xml:space="preserve">A barrier framed as permanent can turn out to be circumstantial. Capital requirements fall as technology matures, regulation can change with a change in political administration or public pressure, and economies of scale can be disrupted by a fundamentally different business model rather than a company trying to out-compete incumbents on their own terms. The barrier itself deserves the same scrutiny as any other part of the investment case, not an automatic assumption of permanence.</w:t>
      </w:r>
    </w:p>
    <w:p>
      <w:pPr>
        <w:pStyle w:val="Heading2"/>
        <w:spacing w:after="140" w:before="260"/>
      </w:pPr>
      <w:r>
        <w:rPr>
          <w:rFonts w:ascii="Georgia" w:cs="Georgia" w:eastAsia="Georgia" w:hAnsi="Georgia"/>
          <w:b/>
          <w:bCs/>
          <w:sz w:val="26"/>
          <w:szCs w:val="26"/>
        </w:rPr>
        <w:t xml:space="preserve">MPLY's Research Lens on Barriers to Entry</w:t>
      </w:r>
    </w:p>
    <w:p>
      <w:pPr>
        <w:spacing w:after="200"/>
      </w:pPr>
      <w:r>
        <w:rPr>
          <w:rFonts w:ascii="Georgia" w:cs="Georgia" w:eastAsia="Georgia" w:hAnsi="Georgia"/>
          <w:sz w:val="23"/>
          <w:szCs w:val="23"/>
        </w:rPr>
        <w:t xml:space="preserve">High barriers to market entry are named explicitly in the Strategy Shares Monopoly ETF's (MPLY) stated screening criteria, alongside regulatory exclusivity and industry concentration, two categories closely related to the capital and licensing barriers described above. The fund's process treats a barrier the way the questions above suggest it should be treated: not as a label a company earns once, but as something to keep testing against capital, regulation, and technology change.</w:t>
      </w:r>
    </w:p>
    <w:p>
      <w:pPr>
        <w:spacing w:after="200"/>
      </w:pPr>
      <w:r>
        <w:rPr>
          <w:rFonts w:ascii="Georgia" w:cs="Georgia" w:eastAsia="Georgia" w:hAnsi="Georgia"/>
          <w:sz w:val="23"/>
          <w:szCs w:val="23"/>
        </w:rPr>
        <w:t xml:space="preserve">A barrier that looked durable a decade ago, dominant physical retail distribution, for instance, can weaken as the underlying technology or regulatory environment shifts, which is why the fund's process has to keep re-evaluating rather than treating a barrier as a fixed characteristic once identified. Readers who want to see which companies currently pass that test can review </w:t>
      </w:r>
      <w:hyperlink w:history="1" r:id="rIds6pw9en43skhb_igzsbmi">
        <w:r>
          <w:rPr>
            <w:rFonts w:ascii="Georgia" w:cs="Georgia" w:eastAsia="Georgia" w:hAnsi="Georgia"/>
            <w:color w:val="1155CC"/>
            <w:sz w:val="23"/>
            <w:szCs w:val="23"/>
            <w:u w:val="single"/>
          </w:rPr>
          <w:t xml:space="preserve">MPLY's investment approach and current holdings</w:t>
        </w:r>
      </w:hyperlink>
      <w:r>
        <w:rPr>
          <w:rFonts w:ascii="Georgia" w:cs="Georgia" w:eastAsia="Georgia" w:hAnsi="Georgia"/>
          <w:sz w:val="23"/>
          <w:szCs w:val="23"/>
        </w:rPr>
        <w:t xml:space="preserve"> on its official page.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gxxykyxesgy9o7rpqxilp">
        <w:r>
          <w:rPr>
            <w:rFonts w:ascii="Georgia" w:cs="Georgia" w:eastAsia="Georgia" w:hAnsi="Georgia"/>
            <w:color w:val="1155CC"/>
            <w:sz w:val="23"/>
            <w:szCs w:val="23"/>
            <w:u w:val="single"/>
          </w:rPr>
          <w:t xml:space="preserve">FCC, spectrum auctions overview (wireless licensing as a regulatory barrier)</w:t>
        </w:r>
      </w:hyperlink>
    </w:p>
    <w:p>
      <w:pPr>
        <w:spacing w:after="0" w:before="280"/>
      </w:pPr>
      <w:r>
        <w:rPr>
          <w:rFonts w:ascii="Georgia" w:cs="Georgia" w:eastAsia="Georgia" w:hAnsi="Georgia"/>
          <w:color w:val="1F4E78"/>
          <w:sz w:val="22"/>
          <w:szCs w:val="22"/>
        </w:rPr>
        <w:t xml:space="preserve">#BarriersToEntry #EconomicMoat #CompetitiveAdvantage #MarketStructure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6pw9en43skhb_igzsbmi" Type="http://schemas.openxmlformats.org/officeDocument/2006/relationships/hyperlink" Target="https://strategysharesetfs.com/mply/" TargetMode="External"/><Relationship Id="rIdgxxykyxesgy9o7rpqxilp" Type="http://schemas.openxmlformats.org/officeDocument/2006/relationships/hyperlink" Target="https://www.fcc.gov/auction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2026-09-23T09:47:35.748Z</dcterms:created>
  <dcterms:modified xsi:type="dcterms:W3CDTF">2026-09-23T09:47:35.748Z</dcterms:modified>
</cp:coreProperties>
</file>

<file path=docProps/custom.xml><?xml version="1.0" encoding="utf-8"?>
<Properties xmlns="http://schemas.openxmlformats.org/officeDocument/2006/custom-properties" xmlns:vt="http://schemas.openxmlformats.org/officeDocument/2006/docPropsVTypes"/>
</file>