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Brand Loyalty as a Competitive Advantage</w:t>
      </w:r>
    </w:p>
    <w:p>
      <w:pPr>
        <w:spacing w:after="200"/>
      </w:pPr>
      <w:r>
        <w:rPr>
          <w:rFonts w:ascii="Georgia" w:cs="Georgia" w:eastAsia="Georgia" w:hAnsi="Georgia"/>
          <w:sz w:val="23"/>
          <w:szCs w:val="23"/>
        </w:rPr>
        <w:t xml:space="preserve">The common belief is straightforward: a beloved brand can charge more, keep customers longer, and shrug off competition that would sink a less-loved rival. The reality is narrower. Brand loyalty is a real and valuable advantage, but it's neither automatic nor permanent, and it depends on the brand actively reinforcing the loyalty rather than assuming customers will simply stay because they always have.</w:t>
      </w:r>
    </w:p>
    <w:p>
      <w:pPr>
        <w:pStyle w:val="Heading2"/>
        <w:spacing w:after="140" w:before="260"/>
      </w:pPr>
      <w:r>
        <w:rPr>
          <w:rFonts w:ascii="Georgia" w:cs="Georgia" w:eastAsia="Georgia" w:hAnsi="Georgia"/>
          <w:b/>
          <w:bCs/>
          <w:sz w:val="26"/>
          <w:szCs w:val="26"/>
        </w:rPr>
        <w:t xml:space="preserve">The Myth: Loyalty Is a Fixed Asset Once Earned</w:t>
      </w:r>
    </w:p>
    <w:p>
      <w:pPr>
        <w:spacing w:after="200"/>
      </w:pPr>
      <w:r>
        <w:rPr>
          <w:rFonts w:ascii="Georgia" w:cs="Georgia" w:eastAsia="Georgia" w:hAnsi="Georgia"/>
          <w:sz w:val="23"/>
          <w:szCs w:val="23"/>
        </w:rPr>
        <w:t xml:space="preserve">It's tempting to treat brand loyalty as something a company banks once and draws on indefinitely, the way a patent protects an invention for a fixed legal term. Under that view, a strong brand is a permanent edge that competitors simply can't replicate regardless of what they do.</w:t>
      </w:r>
    </w:p>
    <w:p>
      <w:pPr>
        <w:pStyle w:val="Heading2"/>
        <w:spacing w:after="140" w:before="260"/>
      </w:pPr>
      <w:r>
        <w:rPr>
          <w:rFonts w:ascii="Georgia" w:cs="Georgia" w:eastAsia="Georgia" w:hAnsi="Georgia"/>
          <w:b/>
          <w:bCs/>
          <w:sz w:val="26"/>
          <w:szCs w:val="26"/>
        </w:rPr>
        <w:t xml:space="preserve">The Reality: Loyalty Has to Be Actively Maintained</w:t>
      </w:r>
    </w:p>
    <w:p>
      <w:pPr>
        <w:spacing w:after="200"/>
      </w:pPr>
      <w:r>
        <w:rPr>
          <w:rFonts w:ascii="Georgia" w:cs="Georgia" w:eastAsia="Georgia" w:hAnsi="Georgia"/>
          <w:sz w:val="23"/>
          <w:szCs w:val="23"/>
        </w:rPr>
        <w:t xml:space="preserve">Harley-Davidson is the example most often cited for genuinely deep brand loyalty, a company whose customers have historically gotten the logo tattooed on their bodies, which is not something that happens around a typical consumer product. That loyalty came from decades of consistent product identity, a specific lifestyle association, and a dealer and owners'-club culture the company actively built and maintained. It didn't happen automatically, and it required continued investment to hold: brands that stop reinforcing what made customers loyal in the first place, through product changes, service quality slipping, or a shift in what the brand represents, can watch that loyalty erode within a few product cycles, not decades.</w:t>
      </w:r>
    </w:p>
    <w:p>
      <w:pPr>
        <w:pStyle w:val="Heading2"/>
        <w:spacing w:after="140" w:before="260"/>
      </w:pPr>
      <w:r>
        <w:rPr>
          <w:rFonts w:ascii="Georgia" w:cs="Georgia" w:eastAsia="Georgia" w:hAnsi="Georgia"/>
          <w:b/>
          <w:bCs/>
          <w:sz w:val="26"/>
          <w:szCs w:val="26"/>
        </w:rPr>
        <w:t xml:space="preserve">Where Brand Loyalty Genuinely Supports Pricing Power</w:t>
      </w:r>
    </w:p>
    <w:p>
      <w:pPr>
        <w:spacing w:after="200"/>
      </w:pPr>
      <w:r>
        <w:rPr>
          <w:rFonts w:ascii="Georgia" w:cs="Georgia" w:eastAsia="Georgia" w:hAnsi="Georgia"/>
          <w:sz w:val="23"/>
          <w:szCs w:val="23"/>
        </w:rPr>
        <w:t xml:space="preserve">The mechanism is real when it works: a loyal customer base gives a company room to raise prices without losing as many customers as a less-loved competitor would in the same situation, and it can support premium positioning even against functionally similar or cheaper alternatives. That's a genuine advantage, but it's conditional on the loyalty being current, not historical. A brand's reputation from a decade ago doesn't protect pricing today if the underlying relationship with customers has quietly weakened.</w:t>
      </w:r>
    </w:p>
    <w:p>
      <w:pPr>
        <w:pStyle w:val="Heading2"/>
        <w:spacing w:after="140" w:before="260"/>
      </w:pPr>
      <w:r>
        <w:rPr>
          <w:rFonts w:ascii="Georgia" w:cs="Georgia" w:eastAsia="Georgia" w:hAnsi="Georgia"/>
          <w:b/>
          <w:bCs/>
          <w:sz w:val="26"/>
          <w:szCs w:val="26"/>
        </w:rPr>
        <w:t xml:space="preserve">What Investors Should Actually Look For</w:t>
      </w:r>
    </w:p>
    <w:p>
      <w:pPr>
        <w:spacing w:after="200"/>
      </w:pPr>
      <w:r>
        <w:rPr>
          <w:rFonts w:ascii="Georgia" w:cs="Georgia" w:eastAsia="Georgia" w:hAnsi="Georgia"/>
          <w:sz w:val="23"/>
          <w:szCs w:val="23"/>
        </w:rPr>
        <w:t xml:space="preserve">Rather than asking whether a brand is well known, a better test is whether the company can point to specific, current evidence: repeat purchase rates, willingness to pay a premium in head-to-head comparisons, or customer response to a recent price increase. A famous brand with declining repeat business is a weaker moat than a less famous one with customers who keep coming back and keep paying up.</w:t>
      </w:r>
    </w:p>
    <w:p>
      <w:pPr>
        <w:pStyle w:val="Heading2"/>
        <w:spacing w:after="140" w:before="260"/>
      </w:pPr>
      <w:r>
        <w:rPr>
          <w:rFonts w:ascii="Georgia" w:cs="Georgia" w:eastAsia="Georgia" w:hAnsi="Georgia"/>
          <w:b/>
          <w:bCs/>
          <w:sz w:val="26"/>
          <w:szCs w:val="26"/>
        </w:rPr>
        <w:t xml:space="preserve">Where MPLY Fits</w:t>
      </w:r>
    </w:p>
    <w:p>
      <w:pPr>
        <w:spacing w:after="200"/>
      </w:pPr>
      <w:r>
        <w:rPr>
          <w:rFonts w:ascii="Georgia" w:cs="Georgia" w:eastAsia="Georgia" w:hAnsi="Georgia"/>
          <w:sz w:val="23"/>
          <w:szCs w:val="23"/>
        </w:rPr>
        <w:t xml:space="preserve">Brand dominance is one of the specific characteristics named in the Strategy Shares Monopoly ETF's (MPLY) stated screening criteria, which puts brand loyalty squarely in scope for the fund's process rather than as a peripheral consideration. But the myth-versus-reality distinction above applies directly here too: the fund's process treats brand strength as one input that can support pricing power and customer retention, evaluated alongside its other criteria, not as a standalone qualifier a company earns simply by being recognizable.</w:t>
      </w:r>
    </w:p>
    <w:p>
      <w:pPr>
        <w:spacing w:after="200"/>
      </w:pPr>
      <w:r>
        <w:rPr>
          <w:rFonts w:ascii="Georgia" w:cs="Georgia" w:eastAsia="Georgia" w:hAnsi="Georgia"/>
          <w:sz w:val="23"/>
          <w:szCs w:val="23"/>
        </w:rPr>
        <w:t xml:space="preserve">A famous brand without current evidence of pricing power or retention is a weaker fit for the fund's thesis than a less famous brand that can demonstrate both. The fund's </w:t>
      </w:r>
      <w:hyperlink w:history="1" r:id="rIdm6hea011swsfzazrpjzkb">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lists its current holdings and investment approach for readers who want to check that evidence directly.</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pkejgsgatnxl_dy_hiyny">
        <w:r>
          <w:rPr>
            <w:rFonts w:ascii="Georgia" w:cs="Georgia" w:eastAsia="Georgia" w:hAnsi="Georgia"/>
            <w:color w:val="1155CC"/>
            <w:sz w:val="23"/>
            <w:szCs w:val="23"/>
            <w:u w:val="single"/>
          </w:rPr>
          <w:t xml:space="preserve">Wikipedia, "Harley-Davidson" (brand identity and customer loyalty culture)</w:t>
        </w:r>
      </w:hyperlink>
    </w:p>
    <w:p>
      <w:pPr>
        <w:spacing w:after="0" w:before="280"/>
      </w:pPr>
      <w:r>
        <w:rPr>
          <w:rFonts w:ascii="Georgia" w:cs="Georgia" w:eastAsia="Georgia" w:hAnsi="Georgia"/>
          <w:color w:val="1F4E78"/>
          <w:sz w:val="22"/>
          <w:szCs w:val="22"/>
        </w:rPr>
        <w:t xml:space="preserve">#BrandLoyalty #CompetitiveAdvantage #EconomicMoat #PricingPower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6hea011swsfzazrpjzkb" Type="http://schemas.openxmlformats.org/officeDocument/2006/relationships/hyperlink" Target="https://strategysharesetfs.com/mply/" TargetMode="External"/><Relationship Id="rIdpkejgsgatnxl_dy_hiyny" Type="http://schemas.openxmlformats.org/officeDocument/2006/relationships/hyperlink" Target="https://en.wikipedia.org/wiki/Harley-Davidso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2026-09-23T09:47:35.761Z</dcterms:created>
  <dcterms:modified xsi:type="dcterms:W3CDTF">2026-09-23T09:47:35.761Z</dcterms:modified>
</cp:coreProperties>
</file>

<file path=docProps/custom.xml><?xml version="1.0" encoding="utf-8"?>
<Properties xmlns="http://schemas.openxmlformats.org/officeDocument/2006/custom-properties" xmlns:vt="http://schemas.openxmlformats.org/officeDocument/2006/docPropsVTypes"/>
</file>