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Makes a Business Hard to Displace</w:t>
      </w:r>
    </w:p>
    <w:p>
      <w:pPr>
        <w:spacing w:after="200"/>
      </w:pPr>
      <w:r>
        <w:rPr>
          <w:rFonts w:ascii="Georgia" w:cs="Georgia" w:eastAsia="Georgia" w:hAnsi="Georgia"/>
          <w:sz w:val="23"/>
          <w:szCs w:val="23"/>
        </w:rPr>
        <w:t xml:space="preserve">Every individual moat source, switching costs, network effects, brand, barriers to entry, answers a version of the same underlying question: what would it actually take for a well-funded, competent competitor to take this company's customers away? A business that's genuinely hard to displace usually isn't protected by just one of these sources; it's protected by more than one working together.</w:t>
      </w:r>
    </w:p>
    <w:p>
      <w:pPr>
        <w:pStyle w:val="Heading2"/>
        <w:spacing w:after="140" w:before="260"/>
      </w:pPr>
      <w:r>
        <w:rPr>
          <w:rFonts w:ascii="Georgia" w:cs="Georgia" w:eastAsia="Georgia" w:hAnsi="Georgia"/>
          <w:b/>
          <w:bCs/>
          <w:sz w:val="26"/>
          <w:szCs w:val="26"/>
        </w:rPr>
        <w:t xml:space="preserve">What to Look For: Layered Advantages, Not a Single One</w:t>
      </w:r>
    </w:p>
    <w:p>
      <w:pPr>
        <w:spacing w:after="200"/>
      </w:pPr>
      <w:r>
        <w:rPr>
          <w:rFonts w:ascii="Georgia" w:cs="Georgia" w:eastAsia="Georgia" w:hAnsi="Georgia"/>
          <w:sz w:val="23"/>
          <w:szCs w:val="23"/>
        </w:rPr>
        <w:t xml:space="preserve">The businesses that prove hardest to displace over long periods typically combine at least two reinforcing sources of advantage. A brand alone can fade if a competitor out-executes on product. A cost advantage alone can be closed by a well-capitalized rival that scales up. But a company with a strong brand and a durable cost advantage, or network effects reinforced by real switching costs, is defending on two fronts at once, and a challenger has to overcome both simultaneously rather than finding one weak point to attack.</w:t>
      </w:r>
    </w:p>
    <w:p>
      <w:pPr>
        <w:pStyle w:val="Heading2"/>
        <w:spacing w:after="140" w:before="260"/>
      </w:pPr>
      <w:r>
        <w:rPr>
          <w:rFonts w:ascii="Georgia" w:cs="Georgia" w:eastAsia="Georgia" w:hAnsi="Georgia"/>
          <w:b/>
          <w:bCs/>
          <w:sz w:val="26"/>
          <w:szCs w:val="26"/>
        </w:rPr>
        <w:t xml:space="preserve">Key Indicators to Examine</w:t>
      </w:r>
    </w:p>
    <w:p>
      <w:pPr>
        <w:pStyle w:val="ListParagraph"/>
        <w:numPr>
          <w:ilvl w:val="0"/>
          <w:numId w:val="1"/>
        </w:numPr>
        <w:spacing w:after="100"/>
      </w:pPr>
      <w:r>
        <w:rPr>
          <w:rFonts w:ascii="Georgia" w:cs="Georgia" w:eastAsia="Georgia" w:hAnsi="Georgia"/>
          <w:sz w:val="23"/>
          <w:szCs w:val="23"/>
        </w:rPr>
        <w:t xml:space="preserve">Customer concentration and churn: low churn relative to the broader industry suggests something beyond price is holding customers in place.</w:t>
      </w:r>
    </w:p>
    <w:p>
      <w:pPr>
        <w:pStyle w:val="ListParagraph"/>
        <w:numPr>
          <w:ilvl w:val="0"/>
          <w:numId w:val="1"/>
        </w:numPr>
        <w:spacing w:after="100"/>
      </w:pPr>
      <w:r>
        <w:rPr>
          <w:rFonts w:ascii="Georgia" w:cs="Georgia" w:eastAsia="Georgia" w:hAnsi="Georgia"/>
          <w:sz w:val="23"/>
          <w:szCs w:val="23"/>
        </w:rPr>
        <w:t xml:space="preserve">Margin stability through cycles: a company that holds margins through a downturn or a well-funded competitor's price war is demonstrating real pricing power, not just a temporary lead.</w:t>
      </w:r>
    </w:p>
    <w:p>
      <w:pPr>
        <w:pStyle w:val="ListParagraph"/>
        <w:numPr>
          <w:ilvl w:val="0"/>
          <w:numId w:val="1"/>
        </w:numPr>
        <w:spacing w:after="100"/>
      </w:pPr>
      <w:r>
        <w:rPr>
          <w:rFonts w:ascii="Georgia" w:cs="Georgia" w:eastAsia="Georgia" w:hAnsi="Georgia"/>
          <w:sz w:val="23"/>
          <w:szCs w:val="23"/>
        </w:rPr>
        <w:t xml:space="preserve">Capital intensity relative to market size: high fixed costs in a market too small to support many players is itself a form of protection new entrants have to reckon with.</w:t>
      </w:r>
    </w:p>
    <w:p>
      <w:pPr>
        <w:pStyle w:val="ListParagraph"/>
        <w:numPr>
          <w:ilvl w:val="0"/>
          <w:numId w:val="1"/>
        </w:numPr>
        <w:spacing w:after="100"/>
      </w:pPr>
      <w:r>
        <w:rPr>
          <w:rFonts w:ascii="Georgia" w:cs="Georgia" w:eastAsia="Georgia" w:hAnsi="Georgia"/>
          <w:sz w:val="23"/>
          <w:szCs w:val="23"/>
        </w:rPr>
        <w:t xml:space="preserve">History of failed challengers: markets where well-funded competitors have tried and failed to gain share are a stronger signal than a market that simply hasn't been seriously challenged yet.</w:t>
      </w:r>
    </w:p>
    <w:p>
      <w:pPr>
        <w:pStyle w:val="Heading2"/>
        <w:spacing w:after="140" w:before="260"/>
      </w:pPr>
      <w:r>
        <w:rPr>
          <w:rFonts w:ascii="Georgia" w:cs="Georgia" w:eastAsia="Georgia" w:hAnsi="Georgia"/>
          <w:b/>
          <w:bCs/>
          <w:sz w:val="26"/>
          <w:szCs w:val="26"/>
        </w:rPr>
        <w:t xml:space="preserve">How to Evaluate the Combination, Not Just the Parts</w:t>
      </w:r>
    </w:p>
    <w:p>
      <w:pPr>
        <w:spacing w:after="200"/>
      </w:pPr>
      <w:r>
        <w:rPr>
          <w:rFonts w:ascii="Georgia" w:cs="Georgia" w:eastAsia="Georgia" w:hAnsi="Georgia"/>
          <w:sz w:val="23"/>
          <w:szCs w:val="23"/>
        </w:rPr>
        <w:t xml:space="preserve">The practical test is to ask what a competitor with unlimited capital, but no existing customer relationships or brand, would actually need to do to take meaningful share within a few years. If the honest answer involves clearing multiple, independent obstacles at once, capital requirements and regulatory approval and an established distribution network, for instance, the business is genuinely hard to displace. If the honest answer is a single obstacle, however large, a sufficiently patient and well-funded challenger can eventually clear it.</w:t>
      </w:r>
    </w:p>
    <w:p>
      <w:pPr>
        <w:pStyle w:val="Heading2"/>
        <w:spacing w:after="140" w:before="260"/>
      </w:pPr>
      <w:r>
        <w:rPr>
          <w:rFonts w:ascii="Georgia" w:cs="Georgia" w:eastAsia="Georgia" w:hAnsi="Georgia"/>
          <w:b/>
          <w:bCs/>
          <w:sz w:val="26"/>
          <w:szCs w:val="26"/>
        </w:rPr>
        <w:t xml:space="preserve">The Common Mistake</w:t>
      </w:r>
    </w:p>
    <w:p>
      <w:pPr>
        <w:spacing w:after="200"/>
      </w:pPr>
      <w:r>
        <w:rPr>
          <w:rFonts w:ascii="Georgia" w:cs="Georgia" w:eastAsia="Georgia" w:hAnsi="Georgia"/>
          <w:sz w:val="23"/>
          <w:szCs w:val="23"/>
        </w:rPr>
        <w:t xml:space="preserve">The mistake investors make most often here is treating the presence of any moat source as sufficient evidence of durability, without asking whether it's reinforced by anything else. A large user base without genuine switching costs, a well-known brand without a clear reason customers stay loyal, or a temporary cost lead without a structural reason a competitor can't close it: each looks like a moat at first glance and can unwind faster than expected once a determined, well-capitalized challenger actually shows up.</w:t>
      </w:r>
    </w:p>
    <w:p>
      <w:pPr>
        <w:pStyle w:val="Heading2"/>
        <w:spacing w:after="140" w:before="260"/>
      </w:pPr>
      <w:r>
        <w:rPr>
          <w:rFonts w:ascii="Georgia" w:cs="Georgia" w:eastAsia="Georgia" w:hAnsi="Georgia"/>
          <w:b/>
          <w:bCs/>
          <w:sz w:val="26"/>
          <w:szCs w:val="26"/>
        </w:rPr>
        <w:t xml:space="preserve">Where MPLY's Approach Reflects This Same Logic</w:t>
      </w:r>
    </w:p>
    <w:p>
      <w:pPr>
        <w:spacing w:after="200"/>
      </w:pPr>
      <w:r>
        <w:rPr>
          <w:rFonts w:ascii="Georgia" w:cs="Georgia" w:eastAsia="Georgia" w:hAnsi="Georgia"/>
          <w:sz w:val="23"/>
          <w:szCs w:val="23"/>
        </w:rPr>
        <w:t xml:space="preserve">The Strategy Shares Monopoly ETF's (MPLY) stated screening criteria list ten separate characteristics, brand dominance, regulatory exclusivity, industry concentration, antitrust history, economic rents, barriers to entry, pricing power, supply-chain control, network effects, and protected intellectual property, and explicitly note that a company can qualify by holding these characteristics individually or collectively with a small number of competitors.</w:t>
      </w:r>
    </w:p>
    <w:p>
      <w:pPr>
        <w:spacing w:after="200"/>
      </w:pPr>
      <w:r>
        <w:rPr>
          <w:rFonts w:ascii="Georgia" w:cs="Georgia" w:eastAsia="Georgia" w:hAnsi="Georgia"/>
          <w:sz w:val="23"/>
          <w:szCs w:val="23"/>
        </w:rPr>
        <w:t xml:space="preserve">That structure mirrors the layered-advantage framework above: the fund isn't screening for a single trait, it's screening for businesses that combine enough of these characteristics that displacing them would require clearing more than one obstacle at once, the same test this article's "what would a well-funded challenger actually need to do" question is really asking. The fund's full methodology and </w:t>
      </w:r>
      <w:hyperlink w:history="1" r:id="rIdu1trkqlwvkbwxgibbullj">
        <w:r>
          <w:rPr>
            <w:rFonts w:ascii="Georgia" w:cs="Georgia" w:eastAsia="Georgia" w:hAnsi="Georgia"/>
            <w:color w:val="1155CC"/>
            <w:sz w:val="23"/>
            <w:szCs w:val="23"/>
            <w:u w:val="single"/>
          </w:rPr>
          <w:t xml:space="preserve">current holdings</w:t>
        </w:r>
      </w:hyperlink>
      <w:r>
        <w:rPr>
          <w:rFonts w:ascii="Georgia" w:cs="Georgia" w:eastAsia="Georgia" w:hAnsi="Georgia"/>
          <w:sz w:val="23"/>
          <w:szCs w:val="23"/>
        </w:rPr>
        <w:t xml:space="preserve"> are published on its official page for anyone who wants to apply that test directly.</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Is a company with just one strong advantage automatically fragile?</w:t>
      </w:r>
    </w:p>
    <w:p>
      <w:pPr>
        <w:spacing w:after="200"/>
      </w:pPr>
      <w:r>
        <w:rPr>
          <w:rFonts w:ascii="Georgia" w:cs="Georgia" w:eastAsia="Georgia" w:hAnsi="Georgia"/>
          <w:sz w:val="23"/>
          <w:szCs w:val="23"/>
        </w:rPr>
        <w:t xml:space="preserve">Not automatically, but it's a narrower moat than one built on multiple reinforcing sources. A single strong, structural advantage (a patent that's genuinely hard to work around, for instance) can still hold up well; the concern is a single advantage that's easy for a well-funded competitor to replicate given enough time and capital.</w:t>
      </w:r>
    </w:p>
    <w:p>
      <w:pPr>
        <w:spacing w:after="60" w:before="160"/>
      </w:pPr>
      <w:r>
        <w:rPr>
          <w:rFonts w:ascii="Georgia" w:cs="Georgia" w:eastAsia="Georgia" w:hAnsi="Georgia"/>
          <w:b/>
          <w:bCs/>
          <w:sz w:val="23"/>
          <w:szCs w:val="23"/>
        </w:rPr>
        <w:t xml:space="preserve">How long does it usually take for a moat to actually be tested?</w:t>
      </w:r>
    </w:p>
    <w:p>
      <w:pPr>
        <w:spacing w:after="200"/>
      </w:pPr>
      <w:r>
        <w:rPr>
          <w:rFonts w:ascii="Georgia" w:cs="Georgia" w:eastAsia="Georgia" w:hAnsi="Georgia"/>
          <w:sz w:val="23"/>
          <w:szCs w:val="23"/>
        </w:rPr>
        <w:t xml:space="preserve">There's no fixed timeline; it depends on how attractive the market's returns look to potential challengers and how much capital and time an entrant is willing to commit. A market earning unusually high returns tends to attract serious challengers faster than one earning ordinary returns, even if both look protected on paper.</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wdvlmpun63tjc5k7saez-">
        <w:r>
          <w:rPr>
            <w:rFonts w:ascii="Georgia" w:cs="Georgia" w:eastAsia="Georgia" w:hAnsi="Georgia"/>
            <w:color w:val="1155CC"/>
            <w:sz w:val="23"/>
            <w:szCs w:val="23"/>
            <w:u w:val="single"/>
          </w:rPr>
          <w:t xml:space="preserve">Strategy Shares Monopoly ETF official fund page (full screening criteria)</w:t>
        </w:r>
      </w:hyperlink>
    </w:p>
    <w:p>
      <w:pPr>
        <w:spacing w:after="0" w:before="280"/>
      </w:pPr>
      <w:r>
        <w:rPr>
          <w:rFonts w:ascii="Georgia" w:cs="Georgia" w:eastAsia="Georgia" w:hAnsi="Georgia"/>
          <w:color w:val="1F4E78"/>
          <w:sz w:val="22"/>
          <w:szCs w:val="22"/>
        </w:rPr>
        <w:t xml:space="preserve">#CompetitiveAdvantage #EconomicMoat #BusinessDefensibility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1trkqlwvkbwxgibbullj" Type="http://schemas.openxmlformats.org/officeDocument/2006/relationships/hyperlink" Target="https://strategysharesetfs.com/mply/" TargetMode="External"/><Relationship Id="rIdwdvlmpun63tjc5k7saez-"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2026-09-23T09:47:35.772Z</dcterms:created>
  <dcterms:modified xsi:type="dcterms:W3CDTF">2026-09-23T09:47:35.772Z</dcterms:modified>
</cp:coreProperties>
</file>

<file path=docProps/custom.xml><?xml version="1.0" encoding="utf-8"?>
<Properties xmlns="http://schemas.openxmlformats.org/officeDocument/2006/custom-properties" xmlns:vt="http://schemas.openxmlformats.org/officeDocument/2006/docPropsVTypes"/>
</file>