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Customer Retention as a Competitive Advantage</w:t>
      </w:r>
    </w:p>
    <w:p>
      <w:pPr>
        <w:spacing w:after="200"/>
      </w:pPr>
      <w:r>
        <w:rPr>
          <w:rFonts w:ascii="Georgia" w:cs="Georgia" w:eastAsia="Georgia" w:hAnsi="Georgia"/>
          <w:sz w:val="23"/>
          <w:szCs w:val="23"/>
        </w:rPr>
        <w:t xml:space="preserve">High customer retention is often treated as evidence of a moat by itself, a low churn rate looks like proof that customers are loyal and the business is protected. Retention is a useful number, but it's a measurement of an outcome, not a description of what's actually causing it. Two businesses can post nearly identical retention rates for entirely different reasons, one durable and one fragile.</w:t>
      </w:r>
    </w:p>
    <w:p>
      <w:pPr>
        <w:pStyle w:val="Heading2"/>
        <w:spacing w:after="140" w:before="260"/>
      </w:pPr>
      <w:r>
        <w:rPr>
          <w:rFonts w:ascii="Georgia" w:cs="Georgia" w:eastAsia="Georgia" w:hAnsi="Georgia"/>
          <w:b/>
          <w:bCs/>
          <w:sz w:val="26"/>
          <w:szCs w:val="26"/>
        </w:rPr>
        <w:t xml:space="preserve">Retention Driven by Switching Costs</w:t>
      </w:r>
    </w:p>
    <w:p>
      <w:pPr>
        <w:spacing w:after="200"/>
      </w:pPr>
      <w:r>
        <w:rPr>
          <w:rFonts w:ascii="Georgia" w:cs="Georgia" w:eastAsia="Georgia" w:hAnsi="Georgia"/>
          <w:sz w:val="23"/>
          <w:szCs w:val="23"/>
        </w:rPr>
        <w:t xml:space="preserve">The more durable version of high retention comes from customers who stay because leaving genuinely costs them something structural: retraining, data migration, integration rebuilding, or losing an accumulated history inside a product. Enterprise software again illustrates this cleanly: a company that has run years of financial reporting through one platform faces real switching costs measured in time, risk, and money, and its retention rate reflects that structural reality, not just satisfaction.</w:t>
      </w:r>
    </w:p>
    <w:p>
      <w:pPr>
        <w:pStyle w:val="Heading2"/>
        <w:spacing w:after="140" w:before="260"/>
      </w:pPr>
      <w:r>
        <w:rPr>
          <w:rFonts w:ascii="Georgia" w:cs="Georgia" w:eastAsia="Georgia" w:hAnsi="Georgia"/>
          <w:b/>
          <w:bCs/>
          <w:sz w:val="26"/>
          <w:szCs w:val="26"/>
        </w:rPr>
        <w:t xml:space="preserve">Retention Driven by Habit or Inattention</w:t>
      </w:r>
    </w:p>
    <w:p>
      <w:pPr>
        <w:spacing w:after="200"/>
      </w:pPr>
      <w:r>
        <w:rPr>
          <w:rFonts w:ascii="Georgia" w:cs="Georgia" w:eastAsia="Georgia" w:hAnsi="Georgia"/>
          <w:sz w:val="23"/>
          <w:szCs w:val="23"/>
        </w:rPr>
        <w:t xml:space="preserve">The more fragile version of high retention comes from customers who stay mainly because leaving requires an active decision they haven't gotten around to making, the same dynamic described in gym memberships and forgotten subscriptions. This kind of retention can look identical to the structural kind on a quarterly earnings report, both show up as a low churn percentage, but it tends to evaporate quickly once something prompts customers to actually reassess their spending: a recession, a well-marketed competitor, or simply a customer doing a routine audit of recurring charges.</w:t>
      </w:r>
    </w:p>
    <w:p>
      <w:pPr>
        <w:pStyle w:val="Heading2"/>
        <w:spacing w:after="140" w:before="260"/>
      </w:pPr>
      <w:r>
        <w:rPr>
          <w:rFonts w:ascii="Georgia" w:cs="Georgia" w:eastAsia="Georgia" w:hAnsi="Georgia"/>
          <w:b/>
          <w:bCs/>
          <w:sz w:val="26"/>
          <w:szCs w:val="26"/>
        </w:rPr>
        <w:t xml:space="preserve">How to Tell the Two Apart</w:t>
      </w:r>
    </w:p>
    <w:p>
      <w:pPr>
        <w:spacing w:after="200"/>
      </w:pPr>
      <w:r>
        <w:rPr>
          <w:rFonts w:ascii="Georgia" w:cs="Georgia" w:eastAsia="Georgia" w:hAnsi="Georgia"/>
          <w:sz w:val="23"/>
          <w:szCs w:val="23"/>
        </w:rPr>
        <w:t xml:space="preserve">The practical test is to look past the headline retention number and ask what specifically is preventing departure. A company that can point to concrete switching costs, migration difficulty, integration depth, contractual lock-in, is demonstrating structural retention. A company whose retention explanation amounts to "customers just don't leave much" without a clear mechanism is more likely relying on inattention, which is a much weaker foundation. Retention trends during a genuine stress period, a recession, a strong new competitor entering the market, are the clearest real-world test: structural retention tends to hold up under stress, while inattention-driven retention tends to crack.</w:t>
      </w:r>
    </w:p>
    <w:p>
      <w:pPr>
        <w:pStyle w:val="Heading2"/>
        <w:spacing w:after="140" w:before="260"/>
      </w:pPr>
      <w:r>
        <w:rPr>
          <w:rFonts w:ascii="Georgia" w:cs="Georgia" w:eastAsia="Georgia" w:hAnsi="Georgia"/>
          <w:b/>
          <w:bCs/>
          <w:sz w:val="26"/>
          <w:szCs w:val="26"/>
        </w:rPr>
        <w:t xml:space="preserve">Why This Distinction Matters More Than the Headline Number</w:t>
      </w:r>
    </w:p>
    <w:p>
      <w:pPr>
        <w:spacing w:after="200"/>
      </w:pPr>
      <w:r>
        <w:rPr>
          <w:rFonts w:ascii="Georgia" w:cs="Georgia" w:eastAsia="Georgia" w:hAnsi="Georgia"/>
          <w:sz w:val="23"/>
          <w:szCs w:val="23"/>
        </w:rPr>
        <w:t xml:space="preserve">Investors and analysts who stop at the retention percentage risk treating two businesses with very different durability as equivalent. The underlying drivers, switching costs, network effects, brand strength, are what determine whether today's retention rate is likely to hold up in a harder environment, which is why retention on its own is a starting point for research rather than a conclusion.</w:t>
      </w:r>
    </w:p>
    <w:p>
      <w:pPr>
        <w:spacing w:after="200"/>
      </w:pPr>
      <w:r>
        <w:rPr>
          <w:rFonts w:ascii="Georgia" w:cs="Georgia" w:eastAsia="Georgia" w:hAnsi="Georgia"/>
          <w:sz w:val="23"/>
          <w:szCs w:val="23"/>
        </w:rPr>
        <w:t xml:space="preserve">This is also why retention alone doesn't map directly onto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screening criteria. The fund's process looks at the underlying drivers, switching costs, brand strength, network effects, that actually explain why customers stay, rather than treating a low churn number as sufficient evidence on its own. Its </w:t>
      </w:r>
      <w:hyperlink w:history="1" r:id="rIdkxnvi-grz7w5ayymj6ybi">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is where that distinction can be checked against its current holdings.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nsasui2tpwgap8gnnnyqa">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#CustomerRetention #CompetitiveAdvantage #EconomicMoat #ChurnRate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xnvi-grz7w5ayymj6ybi" Type="http://schemas.openxmlformats.org/officeDocument/2006/relationships/hyperlink" Target="https://strategysharesetfs.com/mply/" TargetMode="External"/><Relationship Id="rIdnsasui2tpwgap8gnnnyqa"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2026-09-23T09:47:35.799Z</dcterms:created>
  <dcterms:modified xsi:type="dcterms:W3CDTF">2026-09-23T09:47:35.799Z</dcterms:modified>
</cp:coreProperties>
</file>

<file path=docProps/custom.xml><?xml version="1.0" encoding="utf-8"?>
<Properties xmlns="http://schemas.openxmlformats.org/officeDocument/2006/custom-properties" xmlns:vt="http://schemas.openxmlformats.org/officeDocument/2006/docPropsVTypes"/>
</file>