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63:</w:t>
        <w:br/>
        <w:t>How to Analyze a Company's Competitive Position Over a Decade</w:t>
      </w:r>
    </w:p>
    <w:p>
      <w:r>
        <w:rPr>
          <w:rFonts w:ascii="Times New Roman" w:hAnsi="Times New Roman"/>
          <w:sz w:val="28"/>
        </w:rPr>
        <w:t>In the fast paced environment of contemporary equity markets, financial analysis is heavily biased toward the immediate horizon. Wall Street analysts dissect quarterly earnings reports with microscope precision, debating whether a company beat consensus revenue forecasts by one percent or missed guidance by two cents. Institutional algorithmic systems trade within milliseconds of press releases, driving massive intraday share price volatility based entirely on short term noise.</w:t>
      </w:r>
    </w:p>
    <w:p>
      <w:r>
        <w:rPr>
          <w:rFonts w:ascii="Times New Roman" w:hAnsi="Times New Roman"/>
          <w:sz w:val="28"/>
        </w:rPr>
        <w:t>Yet, the true determinant of generational wealth creation is not what happens over ninety days; it is how a business defends and expands its economic moat across an entire decade. Evaluating a company's competitive position long term requires zooming out from quarterly fluctuations and conducting a rigorous multi-year audit of market dominance, pricing power, customer retention, and capital efficiency across changing macroeconomic regimes.</w:t>
      </w:r>
    </w:p>
    <w:p>
      <w:r>
        <w:rPr>
          <w:rFonts w:ascii="Times New Roman" w:hAnsi="Times New Roman"/>
          <w:sz w:val="28"/>
        </w:rPr>
        <w:t>This institutional guide presents a decennial framework for tracking long term competitive positioning, details the quantitative benchmarks that prove a moat is widening, and explains how disciplined allocators identify enduring market leaders.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63_competitive_position_long_term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Decade Market Share Trajectory: Expansion vs Churn</w:t>
      </w:r>
    </w:p>
    <w:p>
      <w:r>
        <w:rPr>
          <w:rFonts w:ascii="Times New Roman" w:hAnsi="Times New Roman"/>
          <w:sz w:val="28"/>
        </w:rPr>
        <w:t>The first pillar of long term competitive analysis is tracking market share over a full ten year economic cycle. In competitive industries, market share is notoriously unstable: consumer preferences shift, aggressive competitors launch copycat products, and pricing wars erode volume. A company that holds 20% market share today might easily be reduced to 5% within five years.</w:t>
      </w:r>
    </w:p>
    <w:p>
      <w:r>
        <w:rPr>
          <w:rFonts w:ascii="Times New Roman" w:hAnsi="Times New Roman"/>
          <w:sz w:val="28"/>
        </w:rPr>
        <w:t>An enduring corporate franchise demonstrates stable or expanding market share across an entire decade. Even as total industry volume fluctuates through recessions and expansions, the dominant player steadily captures incremental volume from weaker peers. When an enterprise maintains a seventy or eighty percent market share year after year, it confirms that insurmountable barriers to entry prevent competitors from contesting the space.</w:t>
      </w:r>
    </w:p>
    <w:p>
      <w:pPr>
        <w:spacing w:after="240"/>
      </w:pPr>
      <w:r>
        <w:rPr>
          <w:rFonts w:ascii="Times New Roman" w:hAnsi="Times New Roman"/>
          <w:b/>
          <w:sz w:val="32"/>
        </w:rPr>
        <w:t>2. Pricing Power Under Macro Stress: The Gross Margin Test</w:t>
      </w:r>
    </w:p>
    <w:p>
      <w:r>
        <w:rPr>
          <w:rFonts w:ascii="Times New Roman" w:hAnsi="Times New Roman"/>
          <w:sz w:val="28"/>
        </w:rPr>
        <w:t>Over a ten year timeframe, a business will inevitably experience multiple inflationary waves, currency devaluations, and raw material cost spikes. How the business responds to these input cost increases reveals the true strength of its competitive position. A commodity firm with weak positioning is forced to absorb cost increases, suffering severe gross margin degradation.</w:t>
      </w:r>
    </w:p>
    <w:p>
      <w:r>
        <w:rPr>
          <w:rFonts w:ascii="Times New Roman" w:hAnsi="Times New Roman"/>
          <w:sz w:val="28"/>
        </w:rPr>
        <w:t>A world class monopoly passes cost increases through to customers immediately, preserving or even expanding its gross profit margins. When an analyst plots gross margin trends over a ten year timeline, a widening moat manifests as an unshakeable upward trajectory or remarkable stability within a tight band. If gross margins decay over ten years, the business is slowly losing pricing power, regardless of what management claims in annual shareholder letters.</w:t>
      </w:r>
    </w:p>
    <w:p>
      <w:pPr>
        <w:spacing w:after="240"/>
      </w:pPr>
      <w:r>
        <w:rPr>
          <w:rFonts w:ascii="Times New Roman" w:hAnsi="Times New Roman"/>
          <w:b/>
          <w:sz w:val="32"/>
        </w:rPr>
        <w:t>3. Return on Invested Capital Persistence</w:t>
      </w:r>
    </w:p>
    <w:p>
      <w:r>
        <w:rPr>
          <w:rFonts w:ascii="Times New Roman" w:hAnsi="Times New Roman"/>
          <w:sz w:val="28"/>
        </w:rPr>
        <w:t>Economic theory states that high returns on capital are inherently mean reverting. When a business generates high profits, capital flows into the industry to compete away excess returns. Therefore, observing a company sustain a Return on Invested Capital (ROIC) above twenty percent for ten consecutive years is empirical proof that an extraordinary economic moat exists.</w:t>
      </w:r>
    </w:p>
    <w:p>
      <w:r>
        <w:rPr>
          <w:rFonts w:ascii="Times New Roman" w:hAnsi="Times New Roman"/>
          <w:sz w:val="28"/>
        </w:rPr>
        <w:t>Persistent high ROIC confirms that capital cannot penetrate the market barrier. Whether protected by proprietary software lock-in, patented healthcare technology, or physical natural monopoly infrastructure, the enterprise operates as an economic tollbooth, generating massive excess cash flows without fear of competitive obsolescence.</w:t>
      </w:r>
    </w:p>
    <w:p>
      <w:pPr>
        <w:spacing w:after="240"/>
      </w:pPr>
      <w:r>
        <w:rPr>
          <w:rFonts w:ascii="Times New Roman" w:hAnsi="Times New Roman"/>
          <w:b/>
          <w:sz w:val="32"/>
        </w:rPr>
        <w:t>4. The MPLY Standard: Concentrating in Proven Decennial Compounders</w:t>
      </w:r>
    </w:p>
    <w:p>
      <w:r>
        <w:rPr>
          <w:rFonts w:ascii="Times New Roman" w:hAnsi="Times New Roman"/>
          <w:sz w:val="28"/>
        </w:rPr>
        <w:t>True long term investing requires concentrating capital in companies whose competitive superiority has been forged and proven across full economic cycles.</w:t>
      </w:r>
    </w:p>
    <w:p>
      <w:r>
        <w:rPr>
          <w:rFonts w:ascii="Times New Roman" w:hAnsi="Times New Roman"/>
          <w:sz w:val="28"/>
        </w:rPr>
        <w:t xml:space="preserve">Investors seeking high conviction exposure to businesses with unassailable decennial competitive positions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By holding market leaders with proven ten year track records of market dominance, unassailable pricing power, and persistent high returns on capital, MPLY delivers focused exposure to the world's most durable economic franchises.</w:t>
      </w:r>
    </w:p>
    <w:p>
      <w:r>
        <w:rPr>
          <w:rFonts w:ascii="Times New Roman" w:hAnsi="Times New Roman"/>
          <w:sz w:val="28"/>
        </w:rPr>
        <w:t>Furthermore, institutional equity analysts conduct decennial threat-of-substitution stress tests to assess whether technological platform transitions threaten an established economic moat. Over a ten-year timeframe, major technological paradigms shift, such as on-premise computing migrating to cloud infrastructure or legacy analog workflows digitizing into automated algorithms.</w:t>
      </w:r>
    </w:p>
    <w:p>
      <w:r>
        <w:rPr>
          <w:rFonts w:ascii="Times New Roman" w:hAnsi="Times New Roman"/>
          <w:sz w:val="28"/>
        </w:rPr>
        <w:t>A truly defensible business model demonstrates the structural capacity to co-opt technological innovation rather than being disrupted by it. Enduring corporate monopolies generate massive operating cash flows that allow them to acquire emerging technological innovators or re-engineer their own core platforms without sacrificing profitability. Tracking how an enterprise navigates platform transitions across a full decade confirms whether its competitive positioning is structural or transient.</w:t>
      </w:r>
    </w:p>
    <w:p>
      <w:pPr>
        <w:spacing w:after="240"/>
      </w:pPr>
      <w:r>
        <w:rPr>
          <w:rFonts w:ascii="Times New Roman" w:hAnsi="Times New Roman"/>
          <w:b/>
          <w:sz w:val="32"/>
        </w:rPr>
        <w:t>5. Frequently Asked Questions</w:t>
      </w:r>
    </w:p>
    <w:p>
      <w:r>
        <w:rPr>
          <w:rFonts w:ascii="Times New Roman" w:hAnsi="Times New Roman"/>
          <w:sz w:val="28"/>
        </w:rPr>
        <w:t>Q1: Why is a ten year analysis superior to a three or five year analysis?</w:t>
      </w:r>
    </w:p>
    <w:p>
      <w:r>
        <w:rPr>
          <w:rFonts w:ascii="Times New Roman" w:hAnsi="Times New Roman"/>
          <w:sz w:val="28"/>
        </w:rPr>
        <w:t>A three or five year window can easily be distorted by a single macroeconomic boom or sector bubble. A ten year analysis captures an entire economic cycle, including recessions, rate hikes, and inflationary shocks, testing business durability under all market conditions.</w:t>
      </w:r>
    </w:p>
    <w:p>
      <w:r>
        <w:rPr>
          <w:rFonts w:ascii="Times New Roman" w:hAnsi="Times New Roman"/>
          <w:sz w:val="28"/>
        </w:rPr>
        <w:t>Q2: What is the biggest danger sign when conducting a ten year moat analysis?</w:t>
      </w:r>
    </w:p>
    <w:p>
      <w:r>
        <w:rPr>
          <w:rFonts w:ascii="Times New Roman" w:hAnsi="Times New Roman"/>
          <w:sz w:val="28"/>
        </w:rPr>
        <w:t>The biggest red flag is a persistent multi-year decline in Return on Invested Capital coupled with a steady increase in capital expenditures, signaling that the company is spending more cash simply to defend an eroding competitive position.</w:t>
      </w:r>
    </w:p>
    <w:p>
      <w:pPr>
        <w:spacing w:after="240"/>
      </w:pPr>
      <w:r>
        <w:rPr>
          <w:rFonts w:ascii="Times New Roman" w:hAnsi="Times New Roman"/>
          <w:b/>
          <w:sz w:val="32"/>
        </w:rPr>
        <w:t>6. Sources</w:t>
      </w:r>
    </w:p>
    <w:p>
      <w:r>
        <w:rPr>
          <w:rFonts w:ascii="Times New Roman" w:hAnsi="Times New Roman"/>
          <w:sz w:val="28"/>
        </w:rPr>
        <w:t xml:space="preserve">Morningstar, Decennial Moat Persistence and Long-Term Competitive Advantage Framework: </w:t>
      </w:r>
      <w:hyperlink r:id="rId11">
        <w:r>
          <w:rPr>
            <w:color w:val="0563C1"/>
            <w:u w:val="single"/>
          </w:rPr>
          <w:t>https://www.morningstar.com/articles/moat-research</w:t>
        </w:r>
      </w:hyperlink>
    </w:p>
    <w:p>
      <w:r>
        <w:rPr>
          <w:rFonts w:ascii="Times New Roman" w:hAnsi="Times New Roman"/>
          <w:sz w:val="28"/>
        </w:rPr>
        <w:t xml:space="preserve">Harvard Business Review, Tracking Corporate Moats and Competitive Dynamics Over Time: </w:t>
      </w:r>
      <w:hyperlink r:id="rId12">
        <w:r>
          <w:rPr>
            <w:color w:val="0563C1"/>
            <w:u w:val="single"/>
          </w:rPr>
          <w:t>https://hbr.org/1979/03/how-competitive-forces-shape-strategy</w:t>
        </w:r>
      </w:hyperlink>
    </w:p>
    <w:p>
      <w:r>
        <w:rPr>
          <w:rFonts w:ascii="Times New Roman" w:hAnsi="Times New Roman"/>
          <w:sz w:val="28"/>
        </w:rPr>
        <w:t>#LongTermInvesting #Compounding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