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89:</w:t>
        <w:br/>
        <w:t>How Scale Economies Affect Competitive Advantage</w:t>
      </w:r>
    </w:p>
    <w:p>
      <w:r>
        <w:rPr>
          <w:rFonts w:ascii="Times New Roman" w:hAnsi="Times New Roman"/>
          <w:sz w:val="28"/>
        </w:rPr>
        <w:t>In business strategy and industrial economics, size is frequently celebrated as an ultimate corporate objective. Companies pursue revenue expansion, market share dominance, and global geographic footprints with the assumption that larger organizations naturally generate greater financial success. However, in fundamental equity research, scale in the absence of microeconomic efficiency can become an organizational burden, leading to bureaucratic paralysis and capital destruction.</w:t>
      </w:r>
    </w:p>
    <w:p>
      <w:r>
        <w:rPr>
          <w:rFonts w:ascii="Times New Roman" w:hAnsi="Times New Roman"/>
          <w:sz w:val="28"/>
        </w:rPr>
        <w:t>When properly structured, however, scale transforms into a formidable economic moat through the mechanism of scale economies. Analyzing how scale economies competitive advantage dynamics function reveals why dominant industry incumbents achieve structurally lower unit costs than any prospective competitor, creating an insurmountable barrier to new market entrants. A business that commands true scale economies can produce, distribute, and market its products at a cost structure that smaller rivals simply cannot replicate without incurring catastrophic losses.</w:t>
      </w:r>
    </w:p>
    <w:p>
      <w:r>
        <w:rPr>
          <w:rFonts w:ascii="Times New Roman" w:hAnsi="Times New Roman"/>
          <w:sz w:val="28"/>
        </w:rPr>
        <w:t>Understanding the microeconomic mechanics of fixed cost dilution, procurement leverage, and minimum efficient scale enables equity allocators to identify durable corporate monopolies. This institutional guide explores how scale economies establish defensible competitive moats, examines the unit cost curve, and illustrates how dominant scale translates into superior Return on Invested Capital.</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89_scale_economies_competitive_advantage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Fixed Cost Dilution and the Downward Unit Cost Curve</w:t>
      </w:r>
    </w:p>
    <w:p>
      <w:r>
        <w:rPr>
          <w:rFonts w:ascii="Times New Roman" w:hAnsi="Times New Roman"/>
          <w:sz w:val="28"/>
        </w:rPr>
        <w:t>At its microeconomic core, economies of scale operate on the spread between fixed costs and variable costs. Fixed costs, such as semiconductor fabrication facilities, freight rail networks, global software development teams, and national distribution hubs, require massive upfront capital expenditure that remains largely constant regardless of production volume.</w:t>
      </w:r>
    </w:p>
    <w:p>
      <w:r>
        <w:rPr>
          <w:rFonts w:ascii="Times New Roman" w:hAnsi="Times New Roman"/>
          <w:sz w:val="28"/>
        </w:rPr>
        <w:t>As an incumbent expands unit production, these immense fixed costs are diluted across a vast denominator of finished units, causing the average cost per unit to decline continuously. A market leader producing one hundred million units achieves a unit cost structure that is a fraction of a smaller competitor producing only five million units. The incumbent can price its products below the smaller competitor's cost of goods sold while still generating comfortable operating margins, effectively starving challengers of capital.</w:t>
      </w:r>
    </w:p>
    <w:p>
      <w:pPr>
        <w:spacing w:after="240"/>
      </w:pPr>
      <w:r>
        <w:rPr>
          <w:rFonts w:ascii="Times New Roman" w:hAnsi="Times New Roman"/>
          <w:b/>
          <w:sz w:val="32"/>
        </w:rPr>
        <w:t>2. Minimum Efficient Scale as an Impenetrable Moat</w:t>
      </w:r>
    </w:p>
    <w:p>
      <w:r>
        <w:rPr>
          <w:rFonts w:ascii="Times New Roman" w:hAnsi="Times New Roman"/>
          <w:sz w:val="28"/>
        </w:rPr>
        <w:t>In many capital-intensive industries, scale economies create a structural barrier known as Minimum Efficient Scale (MES). MES represents the lowest point on the long-run average cost curve, indicating the minimum market share a producer must command to achieve competitive cost parity.</w:t>
      </w:r>
    </w:p>
    <w:p>
      <w:r>
        <w:rPr>
          <w:rFonts w:ascii="Times New Roman" w:hAnsi="Times New Roman"/>
          <w:sz w:val="28"/>
        </w:rPr>
        <w:t>In industries like commercial aircraft manufacturing, semiconductor foundries, or transcontinental freight rail, the minimum efficient scale often equals thirty to fifty percent of total global market demand. This mathematical reality means that the market can support only two or three profitable operators. A prospective new entrant cannot enter gradually on a modest scale; they must build a multi-billion-dollar infrastructure footprint on day one without any guarantee of customer adoption, creating a financial barrier to entry that prevents venture capital or private equity from mounting a challenge.</w:t>
      </w:r>
    </w:p>
    <w:p>
      <w:pPr>
        <w:spacing w:after="240"/>
      </w:pPr>
      <w:r>
        <w:rPr>
          <w:rFonts w:ascii="Times New Roman" w:hAnsi="Times New Roman"/>
          <w:b/>
          <w:sz w:val="32"/>
        </w:rPr>
        <w:t>3. Procurement Clout and Supply Chain Dominance</w:t>
      </w:r>
    </w:p>
    <w:p>
      <w:r>
        <w:rPr>
          <w:rFonts w:ascii="Times New Roman" w:hAnsi="Times New Roman"/>
          <w:sz w:val="28"/>
        </w:rPr>
        <w:t>Beyond fixed cost absorption, massive commercial scale confers monopsony bargaining power over raw material suppliers, component manufacturers, and logistics providers. Because a dominant scale operator represents an indispensable commercial customer for its suppliers, it can negotiate volume discounts, priority component allocations, and favorable payment terms that smaller competitors cannot access.</w:t>
      </w:r>
    </w:p>
    <w:p>
      <w:r>
        <w:rPr>
          <w:rFonts w:ascii="Times New Roman" w:hAnsi="Times New Roman"/>
          <w:sz w:val="28"/>
        </w:rPr>
        <w:t>During global supply chain disruptions or inflationary spikes, the scale leader receives priority access to scarce inventory while price-taking competitors face production delays and severe margin compression. This procurement advantage reinforces the cost spread, widening the incumbent's competitive moat across every stage of the economic cycle.</w:t>
      </w:r>
    </w:p>
    <w:p>
      <w:r>
        <w:rPr>
          <w:rFonts w:ascii="Times New Roman" w:hAnsi="Times New Roman"/>
          <w:sz w:val="28"/>
        </w:rPr>
        <w:t>Furthermore, dominant scale operators can amortize massive Research and Development (R&amp;D) and regulatory compliance budgets over vast global revenue bases. A company spending five billion dollars annually on R&amp;D can introduce technological advancements that smaller firms cannot afford to engineer, permanently extending their competitive lead.</w:t>
      </w:r>
    </w:p>
    <w:p>
      <w:r>
        <w:rPr>
          <w:rFonts w:ascii="Times New Roman" w:hAnsi="Times New Roman"/>
          <w:sz w:val="28"/>
        </w:rPr>
        <w:t>Furthermore, dominant scale operators benefit from superior data accumulation and algorithmic optimization. In modern logistics, financial networks, and digital platforms, operating at immense volume generates vast proprietary datasets that smaller rivals cannot collect. Management teams leverage this operational data to refine routing efficiency, minimize component failure rates, and personalize customer engagement, transforming raw physical scale into a self-reinforcing analytical moat that compounds over time.</w:t>
      </w:r>
    </w:p>
    <w:p>
      <w:pPr>
        <w:spacing w:after="240"/>
      </w:pPr>
      <w:r>
        <w:rPr>
          <w:rFonts w:ascii="Times New Roman" w:hAnsi="Times New Roman"/>
          <w:b/>
          <w:sz w:val="32"/>
        </w:rPr>
        <w:t>4. Scale Economics and MPLY's Quality Architecture</w:t>
      </w:r>
    </w:p>
    <w:p>
      <w:r>
        <w:rPr>
          <w:rFonts w:ascii="Times New Roman" w:hAnsi="Times New Roman"/>
          <w:sz w:val="28"/>
        </w:rPr>
        <w:t>Evaluating how scale economies create insurmountable cost advantages is central to fundamental quality investing strategies.</w:t>
      </w:r>
    </w:p>
    <w:p>
      <w:r>
        <w:rPr>
          <w:rFonts w:ascii="Times New Roman" w:hAnsi="Times New Roman"/>
          <w:sz w:val="28"/>
        </w:rPr>
        <w:t xml:space="preserve">Investors researching how structural scale advantages, high barriers to entry, and dominant market positioning fit into a concentrated equity strategy can explore the Strategy Shares Monopoly ETF (MPLY). Comprehensive fund documentation, holdings lists, and strategy overviews are available at </w:t>
      </w:r>
      <w:hyperlink r:id="rId10">
        <w:r>
          <w:rPr>
            <w:color w:val="0563C1"/>
            <w:u w:val="single"/>
          </w:rPr>
          <w:t>https://strategysharesetfs.com/mply/</w:t>
        </w:r>
      </w:hyperlink>
      <w:r>
        <w:rPr>
          <w:rFonts w:ascii="Times New Roman" w:hAnsi="Times New Roman"/>
          <w:sz w:val="28"/>
        </w:rPr>
        <w:t>. MPLY actively seeks dominant enterprises that leverage massive economies of scale to defend unit economics, sustain high returns on capital, and compound intrinsic value over multi-decade horizons.</w:t>
      </w:r>
    </w:p>
    <w:p>
      <w:pPr>
        <w:spacing w:after="240"/>
      </w:pPr>
      <w:r>
        <w:rPr>
          <w:rFonts w:ascii="Times New Roman" w:hAnsi="Times New Roman"/>
          <w:b/>
          <w:sz w:val="32"/>
        </w:rPr>
        <w:t>5. Frequently Asked Questions</w:t>
      </w:r>
    </w:p>
    <w:p>
      <w:r>
        <w:rPr>
          <w:rFonts w:ascii="Times New Roman" w:hAnsi="Times New Roman"/>
          <w:sz w:val="28"/>
        </w:rPr>
        <w:t>Q1: Can a company become too large and experience diseconomies of scale?</w:t>
      </w:r>
    </w:p>
    <w:p>
      <w:r>
        <w:rPr>
          <w:rFonts w:ascii="Times New Roman" w:hAnsi="Times New Roman"/>
          <w:sz w:val="28"/>
        </w:rPr>
        <w:t>Yes. If an organization becomes excessively bureaucratic, managerial overhead, internal communication friction, and operational complexity can cause unit costs to rise, a phenomenon known as diseconomies of scale. Truly elite compounders avoid this through decentralized management structures.</w:t>
      </w:r>
    </w:p>
    <w:p>
      <w:r>
        <w:rPr>
          <w:rFonts w:ascii="Times New Roman" w:hAnsi="Times New Roman"/>
          <w:sz w:val="28"/>
        </w:rPr>
        <w:t>Q2: How do digital scale economies differ from physical manufacturing scale economies?</w:t>
      </w:r>
    </w:p>
    <w:p>
      <w:r>
        <w:rPr>
          <w:rFonts w:ascii="Times New Roman" w:hAnsi="Times New Roman"/>
          <w:sz w:val="28"/>
        </w:rPr>
        <w:t>Digital scale economies are far more potent because software, digital platforms, and data networks have near-zero marginal replication costs, allowing operating margins to expand toward eighty or ninety percent as user volume scales.</w:t>
      </w:r>
    </w:p>
    <w:p>
      <w:pPr>
        <w:spacing w:after="240"/>
      </w:pPr>
      <w:r>
        <w:rPr>
          <w:rFonts w:ascii="Times New Roman" w:hAnsi="Times New Roman"/>
          <w:b/>
          <w:sz w:val="32"/>
        </w:rPr>
        <w:t>6. Sources</w:t>
      </w:r>
    </w:p>
    <w:p>
      <w:r>
        <w:rPr>
          <w:rFonts w:ascii="Times New Roman" w:hAnsi="Times New Roman"/>
          <w:sz w:val="28"/>
        </w:rPr>
        <w:t xml:space="preserve">Harvard Business Review, The Strategy of Scale: Creating Irreversible Cost Advantages: </w:t>
      </w:r>
      <w:hyperlink r:id="rId11">
        <w:r>
          <w:rPr>
            <w:color w:val="0563C1"/>
            <w:u w:val="single"/>
          </w:rPr>
          <w:t>https://hbr.org/2016/09/how-scale-matters</w:t>
        </w:r>
      </w:hyperlink>
    </w:p>
    <w:p>
      <w:r>
        <w:rPr>
          <w:rFonts w:ascii="Times New Roman" w:hAnsi="Times New Roman"/>
          <w:sz w:val="28"/>
        </w:rPr>
        <w:t xml:space="preserve">Morningstar, Cost Advantage and Economies of Scale as an Economic Moat: </w:t>
      </w:r>
      <w:hyperlink r:id="rId12">
        <w:r>
          <w:rPr>
            <w:color w:val="0563C1"/>
            <w:u w:val="single"/>
          </w:rPr>
          <w:t>https://www.morningstar.com/articles/moat-research</w:t>
        </w:r>
      </w:hyperlink>
    </w:p>
    <w:p>
      <w:r>
        <w:rPr>
          <w:rFonts w:ascii="Times New Roman" w:hAnsi="Times New Roman"/>
          <w:sz w:val="28"/>
        </w:rPr>
        <w:t xml:space="preserve">Strategy Shares ETFs, MPLY Official Fund Portal and Holdings Overview: </w:t>
      </w:r>
      <w:hyperlink r:id="rId10">
        <w:r>
          <w:rPr>
            <w:color w:val="0563C1"/>
            <w:u w:val="single"/>
          </w:rPr>
          <w:t>https://strategysharesetfs.com/mply/</w:t>
        </w:r>
      </w:hyperlink>
    </w:p>
    <w:p>
      <w:r>
        <w:rPr>
          <w:rFonts w:ascii="Times New Roman" w:hAnsi="Times New Roman"/>
          <w:sz w:val="28"/>
        </w:rPr>
        <w:t>#EconomicMoat #CompetitiveAdvantage #Investing #Stocks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hbr.org/2016/09/how-scale-matters" TargetMode="External"/><Relationship Id="rId12"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