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Pricing Power and Why It Matters for Investors</w:t>
      </w:r>
    </w:p>
    <w:p>
      <w:pPr>
        <w:spacing w:after="200"/>
      </w:pPr>
      <w:r>
        <w:rPr>
          <w:rFonts w:ascii="Georgia" w:cs="Georgia" w:eastAsia="Georgia" w:hAnsi="Georgia"/>
          <w:sz w:val="23"/>
          <w:szCs w:val="23"/>
        </w:rPr>
        <w:t xml:space="preserve">Pricing power is a company's ability to raise prices without a corresponding drop in demand. It sounds simple, but it is one of the more reliable signals investors use to judge how defensible a business really is. A company that can pass along higher costs, or charge more simply because customers have few alternatives, tends to protect its profit margins in ways a company without that ability cannot.</w:t>
      </w:r>
    </w:p>
    <w:p>
      <w:pPr>
        <w:pStyle w:val="Heading2"/>
        <w:spacing w:after="140" w:before="260"/>
      </w:pPr>
      <w:r>
        <w:rPr>
          <w:rFonts w:ascii="Georgia" w:cs="Georgia" w:eastAsia="Georgia" w:hAnsi="Georgia"/>
          <w:b/>
          <w:bCs/>
          <w:sz w:val="26"/>
          <w:szCs w:val="26"/>
        </w:rPr>
        <w:t xml:space="preserve">Why Pricing Power Exists</w:t>
      </w:r>
    </w:p>
    <w:p>
      <w:pPr>
        <w:spacing w:after="200"/>
      </w:pPr>
      <w:r>
        <w:rPr>
          <w:rFonts w:ascii="Georgia" w:cs="Georgia" w:eastAsia="Georgia" w:hAnsi="Georgia"/>
          <w:sz w:val="23"/>
          <w:szCs w:val="23"/>
        </w:rPr>
        <w:t xml:space="preserve">Pricing power rarely comes from a single source. It tends to build from some combination of weak substitutes, high switching costs, brand loyalty, or genuine product differentiation. A utility can raise rates because customers have nowhere else to go. A luxury brand can raise prices because part of what customers are buying is the exclusivity itself. A dominant software platform can raise subscription fees because migrating a company's data and workflows elsewhere is expensive and disruptive.</w:t>
      </w:r>
    </w:p>
    <w:p>
      <w:pPr>
        <w:spacing w:after="200"/>
      </w:pPr>
      <w:r>
        <w:rPr>
          <w:rFonts w:ascii="Georgia" w:cs="Georgia" w:eastAsia="Georgia" w:hAnsi="Georgia"/>
          <w:sz w:val="23"/>
          <w:szCs w:val="23"/>
        </w:rPr>
        <w:t xml:space="preserve">Demand elasticity is the underlying economic concept. When demand for a product is inelastic, meaning volume does not fall much even as price rises, a business has room to push prices higher. When demand is elastic, price increases chase customers away faster than they add to revenue, and pricing power disappears.</w:t>
      </w:r>
    </w:p>
    <w:p>
      <w:pPr>
        <w:pStyle w:val="Heading2"/>
        <w:spacing w:after="140" w:before="260"/>
      </w:pPr>
      <w:r>
        <w:rPr>
          <w:rFonts w:ascii="Georgia" w:cs="Georgia" w:eastAsia="Georgia" w:hAnsi="Georgia"/>
          <w:b/>
          <w:bCs/>
          <w:sz w:val="26"/>
          <w:szCs w:val="26"/>
        </w:rPr>
        <w:t xml:space="preserve">How Investors Look for It</w:t>
      </w:r>
    </w:p>
    <w:p>
      <w:pPr>
        <w:spacing w:after="200"/>
      </w:pPr>
      <w:r>
        <w:rPr>
          <w:rFonts w:ascii="Georgia" w:cs="Georgia" w:eastAsia="Georgia" w:hAnsi="Georgia"/>
          <w:sz w:val="23"/>
          <w:szCs w:val="23"/>
        </w:rPr>
        <w:t xml:space="preserve">Gross margin trends are one of the more direct tells. A company sustaining or expanding gross margins during a period of rising input costs is passing those costs on to customers, which is pricing power in action. Revenue growth that outpaces unit or volume growth points the same direction: the company is selling roughly the same amount for more money, not simply selling more.</w:t>
      </w:r>
    </w:p>
    <w:p>
      <w:pPr>
        <w:spacing w:after="200"/>
      </w:pPr>
      <w:r>
        <w:rPr>
          <w:rFonts w:ascii="Georgia" w:cs="Georgia" w:eastAsia="Georgia" w:hAnsi="Georgia"/>
          <w:sz w:val="23"/>
          <w:szCs w:val="23"/>
        </w:rPr>
        <w:t xml:space="preserve">Earnings calls and investor letters are also useful, if read skeptically. Management teams that can describe specific price increases and the retention of customers through them are demonstrating something concrete, not just asserting brand strength.</w:t>
      </w:r>
    </w:p>
    <w:p>
      <w:pPr>
        <w:pStyle w:val="Heading2"/>
        <w:spacing w:after="140" w:before="260"/>
      </w:pPr>
      <w:r>
        <w:rPr>
          <w:rFonts w:ascii="Georgia" w:cs="Georgia" w:eastAsia="Georgia" w:hAnsi="Georgia"/>
          <w:b/>
          <w:bCs/>
          <w:sz w:val="26"/>
          <w:szCs w:val="26"/>
        </w:rPr>
        <w:t xml:space="preserve">Where Pricing Power Breaks Down</w:t>
      </w:r>
    </w:p>
    <w:p>
      <w:pPr>
        <w:spacing w:after="200"/>
      </w:pPr>
      <w:r>
        <w:rPr>
          <w:rFonts w:ascii="Georgia" w:cs="Georgia" w:eastAsia="Georgia" w:hAnsi="Georgia"/>
          <w:sz w:val="23"/>
          <w:szCs w:val="23"/>
        </w:rPr>
        <w:t xml:space="preserve">Pricing power is not permanent. Regulation can cap what a utility or a pharmaceutical company charges. A well-funded competitor can undercut a brand's premium. A macroeconomic downturn can push even loyal customers toward cheaper alternatives once their own budgets tighten. And elasticity is rarely fixed: a company can raise prices once without losing customers and still find the second increase is the one that finally pushes buyers away.</w:t>
      </w:r>
    </w:p>
    <w:p>
      <w:pPr>
        <w:spacing w:after="200"/>
      </w:pPr>
      <w:r>
        <w:rPr>
          <w:rFonts w:ascii="Georgia" w:cs="Georgia" w:eastAsia="Georgia" w:hAnsi="Georgia"/>
          <w:sz w:val="23"/>
          <w:szCs w:val="23"/>
        </w:rPr>
        <w:t xml:space="preserve">Durable pricing power, sustained over many years and multiple price increases, is a different and rarer thing than a single successful price hike. That durability is part of what separates a business with a genuine competitive advantage from one simply benefiting from a temporary supply shortage or a one-time product cycle.</w:t>
      </w:r>
    </w:p>
    <w:p>
      <w:pPr>
        <w:pStyle w:val="Heading2"/>
        <w:spacing w:after="140" w:before="260"/>
      </w:pPr>
      <w:r>
        <w:rPr>
          <w:rFonts w:ascii="Georgia" w:cs="Georgia" w:eastAsia="Georgia" w:hAnsi="Georgia"/>
          <w:b/>
          <w:bCs/>
          <w:sz w:val="26"/>
          <w:szCs w:val="26"/>
        </w:rPr>
        <w:t xml:space="preserve">Why MPLY Treats Pricing Power as a Core Signal</w:t>
      </w:r>
    </w:p>
    <w:p>
      <w:pPr>
        <w:spacing w:after="200"/>
      </w:pPr>
      <w:r>
        <w:rPr>
          <w:rFonts w:ascii="Georgia" w:cs="Georgia" w:eastAsia="Georgia" w:hAnsi="Georgia"/>
          <w:sz w:val="23"/>
          <w:szCs w:val="23"/>
        </w:rPr>
        <w:t xml:space="preserve">Pricing power is not a side note in how the Strategy Shares Monopoly ETF (MPLY) selects holdings. It is one of the specific characteristics named in the fund's stated screening criteria, alongside brand dominance, regulatory exclusivity, industry concentration, high barriers to market entry, and network effects. The fund's managers are actively looking for businesses that can set or hold prices with limited competitive pushback, on the theory that this kind of position tends to accompany the broader monopolistic or oligopolistic characteristics the fund targets.</w:t>
      </w:r>
    </w:p>
    <w:p>
      <w:pPr>
        <w:spacing w:after="200"/>
      </w:pPr>
      <w:r>
        <w:rPr>
          <w:rFonts w:ascii="Georgia" w:cs="Georgia" w:eastAsia="Georgia" w:hAnsi="Georgia"/>
          <w:sz w:val="23"/>
          <w:szCs w:val="23"/>
        </w:rPr>
        <w:t xml:space="preserve">In practice, pricing power rarely shows up alone in MPLY's evaluation. A company that can raise prices today but faces easy substitution, low switching costs, or an absence of real barriers to entry does not fit the fund's broader thesis, even if a temporary price increase looks impressive on paper. What the fund's approach is built around is the combination: pricing power that coexists with the structural advantages that make it durable, such as a dominant market position, control over a supply chain, or intellectual property that a competitor cannot simply replicate.</w:t>
      </w:r>
    </w:p>
    <w:p>
      <w:pPr>
        <w:spacing w:after="200"/>
      </w:pPr>
      <w:r>
        <w:rPr>
          <w:rFonts w:ascii="Georgia" w:cs="Georgia" w:eastAsia="Georgia" w:hAnsi="Georgia"/>
          <w:sz w:val="23"/>
          <w:szCs w:val="23"/>
        </w:rPr>
        <w:t xml:space="preserve">Some of MPLY's largest current holdings illustrate the kind of pricing behavior the fund's screen is designed to capture. </w:t>
      </w:r>
      <w:r>
        <w:rPr>
          <w:rFonts w:ascii="Georgia" w:cs="Georgia" w:eastAsia="Georgia" w:hAnsi="Georgia"/>
          <w:b/>
          <w:bCs/>
          <w:sz w:val="23"/>
          <w:szCs w:val="23"/>
        </w:rPr>
        <w:t xml:space="preserve">Nvidia</w:t>
      </w:r>
      <w:r>
        <w:rPr>
          <w:rFonts w:ascii="Georgia" w:cs="Georgia" w:eastAsia="Georgia" w:hAnsi="Georgia"/>
          <w:sz w:val="23"/>
          <w:szCs w:val="23"/>
        </w:rPr>
        <w:t xml:space="preserve">, the fund's largest position, has been able to sustain premium pricing on its data-center GPUs through a period of surging AI infrastructure demand, a position reinforced by its dominant share of AI accelerator hardware. </w:t>
      </w:r>
      <w:r>
        <w:rPr>
          <w:rFonts w:ascii="Georgia" w:cs="Georgia" w:eastAsia="Georgia" w:hAnsi="Georgia"/>
          <w:b/>
          <w:bCs/>
          <w:sz w:val="23"/>
          <w:szCs w:val="23"/>
        </w:rPr>
        <w:t xml:space="preserve">Apple</w:t>
      </w:r>
      <w:r>
        <w:rPr>
          <w:rFonts w:ascii="Georgia" w:cs="Georgia" w:eastAsia="Georgia" w:hAnsi="Georgia"/>
          <w:sz w:val="23"/>
          <w:szCs w:val="23"/>
        </w:rPr>
        <w:t xml:space="preserve">, also among the fund's top holdings, has maintained premium iPhone pricing for years despite the availability of far cheaper Android alternatives, a pattern generally attributed to brand loyalty and ecosystem lock-in rather than any single feature advantage. Neither company qualifies for MPLY's portfolio on pricing power alone, but pricing power is part of the case for both.</w:t>
      </w:r>
    </w:p>
    <w:p>
      <w:pPr>
        <w:spacing w:after="200"/>
      </w:pPr>
      <w:r>
        <w:rPr>
          <w:rFonts w:ascii="Georgia" w:cs="Georgia" w:eastAsia="Georgia" w:hAnsi="Georgia"/>
          <w:sz w:val="23"/>
          <w:szCs w:val="23"/>
        </w:rPr>
        <w:t xml:space="preserve">A reader researching MPLY through this lens should look past the price increase itself and ask what is protecting it: a patent, a network effect, a regulatory position, a brand that customers will pay to stay loyal to. Pricing power without one of those underlying protections tends to be temporary, and MPLY's methodology is built around finding the more durable version. This is also a limitation worth being direct about: pricing power is evidence of a possible moat, not proof of one, and the fund's own selection process relies on the manager's active judgment about which companies clear that bar, not a mechanical rule.</w:t>
      </w:r>
    </w:p>
    <w:p>
      <w:pPr>
        <w:spacing w:after="200"/>
      </w:pPr>
      <w:r>
        <w:rPr>
          <w:rFonts w:ascii="Georgia" w:cs="Georgia" w:eastAsia="Georgia" w:hAnsi="Georgia"/>
          <w:sz w:val="23"/>
          <w:szCs w:val="23"/>
        </w:rPr>
        <w:t xml:space="preserve">Readers who want to see how this criterion plays out across a full portfolio can review </w:t>
      </w:r>
      <w:hyperlink w:history="1" r:id="rIdywihoq-ktvx_mxzkreocb">
        <w:r>
          <w:rPr>
            <w:rFonts w:ascii="Georgia" w:cs="Georgia" w:eastAsia="Georgia" w:hAnsi="Georgia"/>
            <w:color w:val="1155CC"/>
            <w:sz w:val="23"/>
            <w:szCs w:val="23"/>
            <w:u w:val="single"/>
          </w:rPr>
          <w:t xml:space="preserve">MPLY's current holdings and investment approach</w:t>
        </w:r>
      </w:hyperlink>
      <w:r>
        <w:rPr>
          <w:rFonts w:ascii="Georgia" w:cs="Georgia" w:eastAsia="Georgia" w:hAnsi="Georgia"/>
          <w:sz w:val="23"/>
          <w:szCs w:val="23"/>
        </w:rPr>
        <w:t xml:space="preserve"> on the fund's official page.</w:t>
      </w:r>
    </w:p>
    <w:p>
      <w:pPr>
        <w:pStyle w:val="Heading2"/>
        <w:spacing w:after="140" w:before="260"/>
      </w:pPr>
      <w:r>
        <w:rPr>
          <w:rFonts w:ascii="Georgia" w:cs="Georgia" w:eastAsia="Georgia" w:hAnsi="Georgia"/>
          <w:b/>
          <w:bCs/>
          <w:sz w:val="26"/>
          <w:szCs w:val="26"/>
        </w:rPr>
        <w:t xml:space="preserve">FAQ</w:t>
      </w:r>
    </w:p>
    <w:p>
      <w:pPr>
        <w:spacing w:after="60" w:before="160"/>
      </w:pPr>
      <w:r>
        <w:rPr>
          <w:rFonts w:ascii="Georgia" w:cs="Georgia" w:eastAsia="Georgia" w:hAnsi="Georgia"/>
          <w:b/>
          <w:bCs/>
          <w:sz w:val="23"/>
          <w:szCs w:val="23"/>
        </w:rPr>
        <w:t xml:space="preserve">Is pricing power just another way of saying a company is expensive?</w:t>
      </w:r>
    </w:p>
    <w:p>
      <w:pPr>
        <w:spacing w:after="200"/>
      </w:pPr>
      <w:r>
        <w:rPr>
          <w:rFonts w:ascii="Georgia" w:cs="Georgia" w:eastAsia="Georgia" w:hAnsi="Georgia"/>
          <w:sz w:val="23"/>
          <w:szCs w:val="23"/>
        </w:rPr>
        <w:t xml:space="preserve">No. Pricing power is about the ability to raise prices without losing customers, not about the price level itself. A budget retailer with strong pricing power can still raise prices modestly and keep customers; a premium brand with weak pricing power can lose customers the moment it pushes prices higher, regardless of how expensive it already is.</w:t>
      </w:r>
    </w:p>
    <w:p>
      <w:pPr>
        <w:spacing w:after="60" w:before="160"/>
      </w:pPr>
      <w:r>
        <w:rPr>
          <w:rFonts w:ascii="Georgia" w:cs="Georgia" w:eastAsia="Georgia" w:hAnsi="Georgia"/>
          <w:b/>
          <w:bCs/>
          <w:sz w:val="23"/>
          <w:szCs w:val="23"/>
        </w:rPr>
        <w:t xml:space="preserve">How can I tell if a price increase reflects pricing power or just inflation pass-through?</w:t>
      </w:r>
    </w:p>
    <w:p>
      <w:pPr>
        <w:spacing w:after="200"/>
      </w:pPr>
      <w:r>
        <w:rPr>
          <w:rFonts w:ascii="Georgia" w:cs="Georgia" w:eastAsia="Georgia" w:hAnsi="Georgia"/>
          <w:sz w:val="23"/>
          <w:szCs w:val="23"/>
        </w:rPr>
        <w:t xml:space="preserve">Watch what happens to gross margin, not just revenue. If a company raises prices in step with rising input costs and margins hold flat, that is closer to inflation pass-through, keeping up rather than gaining ground. Real pricing power usually shows up as margin expansion: revenue grows faster than the cost of what's being sold, meaning the company captured more than it needed to just to stay even.</w:t>
      </w:r>
    </w:p>
    <w:p>
      <w:pPr>
        <w:spacing w:after="60" w:before="160"/>
      </w:pPr>
      <w:r>
        <w:rPr>
          <w:rFonts w:ascii="Georgia" w:cs="Georgia" w:eastAsia="Georgia" w:hAnsi="Georgia"/>
          <w:b/>
          <w:bCs/>
          <w:sz w:val="23"/>
          <w:szCs w:val="23"/>
        </w:rPr>
        <w:t xml:space="preserve">Does pricing power on its own prove a company has a durable moat?</w:t>
      </w:r>
    </w:p>
    <w:p>
      <w:pPr>
        <w:spacing w:after="200"/>
      </w:pPr>
      <w:r>
        <w:rPr>
          <w:rFonts w:ascii="Georgia" w:cs="Georgia" w:eastAsia="Georgia" w:hAnsi="Georgia"/>
          <w:sz w:val="23"/>
          <w:szCs w:val="23"/>
        </w:rPr>
        <w:t xml:space="preserve">No, and this is a common mistake. Pricing power is evidence a moat might exist, not proof of one. A company can show pricing power briefly because of a temporary shortage or a one-off product cycle. What separates a real moat from a lucky moment is whether the pricing power persists across multiple price increases and multiple years, and whether it is backed by something structural, like switching costs, a patent, or genuine brand loyalty.</w:t>
      </w:r>
    </w:p>
    <w:p>
      <w:pPr>
        <w:spacing w:after="60" w:before="160"/>
      </w:pPr>
      <w:r>
        <w:rPr>
          <w:rFonts w:ascii="Georgia" w:cs="Georgia" w:eastAsia="Georgia" w:hAnsi="Georgia"/>
          <w:b/>
          <w:bCs/>
          <w:sz w:val="23"/>
          <w:szCs w:val="23"/>
        </w:rPr>
        <w:t xml:space="preserve">Can a company lose pricing power it once had?</w:t>
      </w:r>
    </w:p>
    <w:p>
      <w:pPr>
        <w:spacing w:after="200"/>
      </w:pPr>
      <w:r>
        <w:rPr>
          <w:rFonts w:ascii="Georgia" w:cs="Georgia" w:eastAsia="Georgia" w:hAnsi="Georgia"/>
          <w:sz w:val="23"/>
          <w:szCs w:val="23"/>
        </w:rPr>
        <w:t xml:space="preserve">Yes. Regulation can cap what a utility or pharmaceutical company charges. A well-capitalized competitor can undercut a premium brand. A recession can push loyal customers toward cheaper alternatives once household budgets tighten. Pricing power is a current condition, not a permanent trait, which is why durability over time matters more than any single price increase.</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z2l7aup9p83j897bf5zs1">
        <w:r>
          <w:rPr>
            <w:rFonts w:ascii="Georgia" w:cs="Georgia" w:eastAsia="Georgia" w:hAnsi="Georgia"/>
            <w:color w:val="1155CC"/>
            <w:sz w:val="23"/>
            <w:szCs w:val="23"/>
            <w:u w:val="single"/>
          </w:rPr>
          <w:t xml:space="preserve">Strategy Shares Monopoly ETF official fund page (screening criteria, current holdings)</w:t>
        </w:r>
      </w:hyperlink>
    </w:p>
    <w:p>
      <w:pPr>
        <w:pStyle w:val="ListParagraph"/>
        <w:numPr>
          <w:ilvl w:val="0"/>
          <w:numId w:val="1"/>
        </w:numPr>
        <w:spacing w:after="100"/>
      </w:pPr>
      <w:hyperlink w:history="1" r:id="rIdrjc9g24q4wblcncvaajxs">
        <w:r>
          <w:rPr>
            <w:rFonts w:ascii="Georgia" w:cs="Georgia" w:eastAsia="Georgia" w:hAnsi="Georgia"/>
            <w:color w:val="1155CC"/>
            <w:sz w:val="23"/>
            <w:szCs w:val="23"/>
            <w:u w:val="single"/>
          </w:rPr>
          <w:t xml:space="preserve">stockanalysis.com/etf/mply (holdings weights, fetched 2026-09-23)</w:t>
        </w:r>
      </w:hyperlink>
    </w:p>
    <w:p>
      <w:pPr>
        <w:spacing w:after="0" w:before="280"/>
      </w:pPr>
      <w:r>
        <w:rPr>
          <w:rFonts w:ascii="Georgia" w:cs="Georgia" w:eastAsia="Georgia" w:hAnsi="Georgia"/>
          <w:color w:val="1F4E78"/>
          <w:sz w:val="22"/>
          <w:szCs w:val="22"/>
        </w:rPr>
        <w:t xml:space="preserve">#PricingPower #CompetitiveAdvantage #EconomicMoat #MPLY #Investing #QualityInvesting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wihoq-ktvx_mxzkreocb" Type="http://schemas.openxmlformats.org/officeDocument/2006/relationships/hyperlink" Target="https://strategysharesetfs.com/mply/" TargetMode="External"/><Relationship Id="rIdz2l7aup9p83j897bf5zs1" Type="http://schemas.openxmlformats.org/officeDocument/2006/relationships/hyperlink" Target="https://strategysharesetfs.com/mply/" TargetMode="External"/><Relationship Id="rIdrjc9g24q4wblcncvaajxs" Type="http://schemas.openxmlformats.org/officeDocument/2006/relationships/hyperlink" Target="https://stockanalysis.com/etf/mply/"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2026-09-23T09:20:39.407Z</dcterms:created>
  <dcterms:modified xsi:type="dcterms:W3CDTF">2026-09-23T09:20:39.410Z</dcterms:modified>
</cp:coreProperties>
</file>

<file path=docProps/custom.xml><?xml version="1.0" encoding="utf-8"?>
<Properties xmlns="http://schemas.openxmlformats.org/officeDocument/2006/custom-properties" xmlns:vt="http://schemas.openxmlformats.org/officeDocument/2006/docPropsVTypes"/>
</file>