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Earnings Quality</w:t>
      </w:r>
    </w:p>
    <w:p>
      <w:pPr>
        <w:spacing w:after="200"/>
      </w:pPr>
      <w:r>
        <w:rPr>
          <w:rFonts w:ascii="Georgia" w:cs="Georgia" w:eastAsia="Georgia" w:hAnsi="Georgia"/>
          <w:sz w:val="23"/>
          <w:szCs w:val="23"/>
        </w:rPr>
        <w:t xml:space="preserve">Earnings quality asks a question net income alone doesn't answer: how much of this profit is backed by real, collected cash, and how much depends on accounting estimates that could still reverse. Two companies can report identical net income and have very different earnings quality underneath it.</w:t>
      </w:r>
    </w:p>
    <w:p>
      <w:pPr>
        <w:pStyle w:val="Heading2"/>
        <w:spacing w:after="140" w:before="260"/>
      </w:pPr>
      <w:r>
        <w:rPr>
          <w:rFonts w:ascii="Georgia" w:cs="Georgia" w:eastAsia="Georgia" w:hAnsi="Georgia"/>
          <w:b/>
          <w:bCs/>
          <w:sz w:val="26"/>
          <w:szCs w:val="26"/>
        </w:rPr>
        <w:t xml:space="preserve">The Core Signal: Accruals</w:t>
      </w:r>
    </w:p>
    <w:p>
      <w:pPr>
        <w:spacing w:after="200"/>
      </w:pPr>
      <w:r>
        <w:rPr>
          <w:rFonts w:ascii="Georgia" w:cs="Georgia" w:eastAsia="Georgia" w:hAnsi="Georgia"/>
          <w:sz w:val="23"/>
          <w:szCs w:val="23"/>
        </w:rPr>
        <w:t xml:space="preserve">Accrual accounting recognizes revenue when it's earned and expenses when they're incurred, not necessarily when cash moves. Accruals are the gap between reported earnings and actual operating cash flow. A company with earnings consistently close to its operating cash flow has high-quality, cash-backed earnings. A company where reported earnings run well ahead of operating cash flow, quarter after quarter, is relying more heavily on accounting estimates and non-cash items, which is worth investigating rather than assuming away.</w:t>
      </w:r>
    </w:p>
    <w:p>
      <w:pPr>
        <w:pStyle w:val="Heading2"/>
        <w:spacing w:after="140" w:before="260"/>
      </w:pPr>
      <w:r>
        <w:rPr>
          <w:rFonts w:ascii="Georgia" w:cs="Georgia" w:eastAsia="Georgia" w:hAnsi="Georgia"/>
          <w:b/>
          <w:bCs/>
          <w:sz w:val="26"/>
          <w:szCs w:val="26"/>
        </w:rPr>
        <w:t xml:space="preserve">Where Weak Earnings Quality Shows Up</w:t>
      </w:r>
    </w:p>
    <w:p>
      <w:pPr>
        <w:pStyle w:val="ListParagraph"/>
        <w:numPr>
          <w:ilvl w:val="0"/>
          <w:numId w:val="1"/>
        </w:numPr>
        <w:spacing w:after="100"/>
      </w:pPr>
      <w:r>
        <w:rPr>
          <w:rFonts w:ascii="Georgia" w:cs="Georgia" w:eastAsia="Georgia" w:hAnsi="Georgia"/>
          <w:sz w:val="23"/>
          <w:szCs w:val="23"/>
        </w:rPr>
        <w:t xml:space="preserve">Revenue recognized well before cash is collected, growing receivables faster than revenue itself.</w:t>
      </w:r>
    </w:p>
    <w:p>
      <w:pPr>
        <w:pStyle w:val="ListParagraph"/>
        <w:numPr>
          <w:ilvl w:val="0"/>
          <w:numId w:val="1"/>
        </w:numPr>
        <w:spacing w:after="100"/>
      </w:pPr>
      <w:r>
        <w:rPr>
          <w:rFonts w:ascii="Georgia" w:cs="Georgia" w:eastAsia="Georgia" w:hAnsi="Georgia"/>
          <w:sz w:val="23"/>
          <w:szCs w:val="23"/>
        </w:rPr>
        <w:t xml:space="preserve">Aggressive or changing estimates for bad debt, warranty reserves, or returns that flatter current-period earnings.</w:t>
      </w:r>
    </w:p>
    <w:p>
      <w:pPr>
        <w:pStyle w:val="ListParagraph"/>
        <w:numPr>
          <w:ilvl w:val="0"/>
          <w:numId w:val="1"/>
        </w:numPr>
        <w:spacing w:after="100"/>
      </w:pPr>
      <w:r>
        <w:rPr>
          <w:rFonts w:ascii="Georgia" w:cs="Georgia" w:eastAsia="Georgia" w:hAnsi="Georgia"/>
          <w:sz w:val="23"/>
          <w:szCs w:val="23"/>
        </w:rPr>
        <w:t xml:space="preserve">One-time gains, asset sales, or non-operating items propping up otherwise weak operating results.</w:t>
      </w:r>
    </w:p>
    <w:p>
      <w:pPr>
        <w:pStyle w:val="ListParagraph"/>
        <w:numPr>
          <w:ilvl w:val="0"/>
          <w:numId w:val="1"/>
        </w:numPr>
        <w:spacing w:after="100"/>
      </w:pPr>
      <w:r>
        <w:rPr>
          <w:rFonts w:ascii="Georgia" w:cs="Georgia" w:eastAsia="Georgia" w:hAnsi="Georgia"/>
          <w:sz w:val="23"/>
          <w:szCs w:val="23"/>
        </w:rPr>
        <w:t xml:space="preserve">Frequent restatements or changes in accounting policy that coincide with earnings just meeting analyst targets.</w:t>
      </w:r>
    </w:p>
    <w:p>
      <w:pPr>
        <w:pStyle w:val="Heading2"/>
        <w:spacing w:after="140" w:before="260"/>
      </w:pPr>
      <w:r>
        <w:rPr>
          <w:rFonts w:ascii="Georgia" w:cs="Georgia" w:eastAsia="Georgia" w:hAnsi="Georgia"/>
          <w:b/>
          <w:bCs/>
          <w:sz w:val="26"/>
          <w:szCs w:val="26"/>
        </w:rPr>
        <w:t xml:space="preserve">Why This Matters More Than It Sounds</w:t>
      </w:r>
    </w:p>
    <w:p>
      <w:pPr>
        <w:spacing w:after="200"/>
      </w:pPr>
      <w:r>
        <w:rPr>
          <w:rFonts w:ascii="Georgia" w:cs="Georgia" w:eastAsia="Georgia" w:hAnsi="Georgia"/>
          <w:sz w:val="23"/>
          <w:szCs w:val="23"/>
        </w:rPr>
        <w:t xml:space="preserve">Low earnings quality doesn't necessarily mean fraud, it often just means the reported number is more sensitive to management judgment and less repeatable than it looks. That matters for anyone using current earnings to estimate what a business is worth: a valuation built on earnings that won't recur, or that reverse once the underlying accruals unwind, is a valuation built on a number that isn't going to hold up.</w:t>
      </w:r>
    </w:p>
    <w:p>
      <w:pPr>
        <w:pStyle w:val="Heading2"/>
        <w:spacing w:after="140" w:before="260"/>
      </w:pPr>
      <w:r>
        <w:rPr>
          <w:rFonts w:ascii="Georgia" w:cs="Georgia" w:eastAsia="Georgia" w:hAnsi="Georgia"/>
          <w:b/>
          <w:bCs/>
          <w:sz w:val="26"/>
          <w:szCs w:val="26"/>
        </w:rPr>
        <w:t xml:space="preserve">The Practical Check</w:t>
      </w:r>
    </w:p>
    <w:p>
      <w:pPr>
        <w:spacing w:after="200"/>
      </w:pPr>
      <w:r>
        <w:rPr>
          <w:rFonts w:ascii="Georgia" w:cs="Georgia" w:eastAsia="Georgia" w:hAnsi="Georgia"/>
          <w:sz w:val="23"/>
          <w:szCs w:val="23"/>
        </w:rPr>
        <w:t xml:space="preserve">Comparing several years of net income against operating cash flow over the same period is the simplest version of this analysis. Persistent, unexplained gaps deserve a closer look at what's actually driving the difference before taking a reported earnings number at face value.</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Illustrative example: a widening gap between reported earnings and operating cash flow is the signal earnings-quality analysis looks for.</w:t>
      </w:r>
    </w:p>
    <w:p>
      <w:pPr>
        <w:pStyle w:val="Heading2"/>
        <w:spacing w:after="140" w:before="260"/>
      </w:pPr>
      <w:r>
        <w:rPr>
          <w:rFonts w:ascii="Georgia" w:cs="Georgia" w:eastAsia="Georgia" w:hAnsi="Georgia"/>
          <w:b/>
          <w:bCs/>
          <w:sz w:val="26"/>
          <w:szCs w:val="26"/>
        </w:rPr>
        <w:t xml:space="preserve">Why Earnings Quality Matters When Researching MPLY's Holdings</w:t>
      </w:r>
    </w:p>
    <w:p>
      <w:pPr>
        <w:spacing w:after="200"/>
      </w:pPr>
      <w:r>
        <w:rPr>
          <w:rFonts w:ascii="Georgia" w:cs="Georgia" w:eastAsia="Georgia" w:hAnsi="Georgia"/>
          <w:sz w:val="23"/>
          <w:szCs w:val="23"/>
        </w:rPr>
        <w:t xml:space="preserve">The Strategy Shares Monopoly ETF's (</w:t>
      </w:r>
      <w:r>
        <w:rPr>
          <w:rFonts w:ascii="Georgia" w:cs="Georgia" w:eastAsia="Georgia" w:hAnsi="Georgia"/>
          <w:b/>
          <w:bCs/>
          <w:sz w:val="23"/>
          <w:szCs w:val="23"/>
        </w:rPr>
        <w:t xml:space="preserve">MPLY</w:t>
      </w:r>
      <w:r>
        <w:rPr>
          <w:rFonts w:ascii="Georgia" w:cs="Georgia" w:eastAsia="Georgia" w:hAnsi="Georgia"/>
          <w:sz w:val="23"/>
          <w:szCs w:val="23"/>
        </w:rPr>
        <w:t xml:space="preserve">) stated screening criteria identify companies with brand dominance, pricing power, regulatory exclusivity, industry concentration, and high barriers to entry. None of those criteria guarantee that the earnings a screened company reports are fully cash-backed, since a business can hold a genuinely dominant market position and still report earnings that lean on aggressive accounting estimates in a given period. Competitive position and earnings quality answer different questions, and a reader evaluating any of MPLY's holdings individually benefits from checking both.</w:t>
      </w:r>
    </w:p>
    <w:p>
      <w:pPr>
        <w:spacing w:after="200"/>
      </w:pPr>
      <w:r>
        <w:rPr>
          <w:rFonts w:ascii="Georgia" w:cs="Georgia" w:eastAsia="Georgia" w:hAnsi="Georgia"/>
          <w:sz w:val="23"/>
          <w:szCs w:val="23"/>
        </w:rPr>
        <w:t xml:space="preserve">In practice this means earnings quality functions as a complementary diligence step rather than a competing signal to MPLY's own screen: a holding with a durable competitive position, corroborated by consistently cash-backed earnings over several periods, is a stronger data point than the competitive position alone. Readers who want to see the fund's own stated methodology and current holdings can review MPLY's investment approach on its </w:t>
      </w:r>
      <w:hyperlink w:history="1" r:id="rIdyvayx7ouekvfhlgj73anl">
        <w:r>
          <w:rPr>
            <w:rFonts w:ascii="Georgia" w:cs="Georgia" w:eastAsia="Georgia" w:hAnsi="Georgia"/>
            <w:color w:val="1155CC"/>
            <w:sz w:val="23"/>
            <w:szCs w:val="23"/>
            <w:u w:val="single"/>
          </w:rPr>
          <w:t xml:space="preserve">official page</w:t>
        </w:r>
      </w:hyperlink>
      <w:r>
        <w:rPr>
          <w:rFonts w:ascii="Georgia" w:cs="Georgia" w:eastAsia="Georgia" w:hAnsi="Georgia"/>
          <w:sz w:val="23"/>
          <w:szCs w:val="23"/>
        </w:rPr>
        <w:t xml:space="preserv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rrq_mxmup8rco4e5g6vvj">
        <w:r>
          <w:rPr>
            <w:rFonts w:ascii="Georgia" w:cs="Georgia" w:eastAsia="Georgia" w:hAnsi="Georgia"/>
            <w:color w:val="1155CC"/>
            <w:sz w:val="23"/>
            <w:szCs w:val="23"/>
            <w:u w:val="single"/>
          </w:rPr>
          <w:t xml:space="preserve">Strategy Shares Monopoly ETF official fund page</w:t>
        </w:r>
      </w:hyperlink>
    </w:p>
    <w:p>
      <w:pPr>
        <w:spacing w:after="0" w:before="280"/>
      </w:pPr>
      <w:r>
        <w:rPr>
          <w:rFonts w:ascii="Georgia" w:cs="Georgia" w:eastAsia="Georgia" w:hAnsi="Georgia"/>
          <w:color w:val="1F4E78"/>
          <w:sz w:val="22"/>
          <w:szCs w:val="22"/>
        </w:rPr>
        <w:t xml:space="preserve">#EarningsQuality #QualityInvesting #Accounting #FundamentalAnalysis #MPLY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vayx7ouekvfhlgj73anl" Type="http://schemas.openxmlformats.org/officeDocument/2006/relationships/hyperlink" Target="https://strategysharesetfs.com/mply/" TargetMode="External"/><Relationship Id="rIdrrq_mxmup8rco4e5g6vvj" Type="http://schemas.openxmlformats.org/officeDocument/2006/relationships/hyperlink" Target="https://strategysharesetfs.com/mply/" TargetMode="External"/><Relationship Id="rId7" Type="http://schemas.openxmlformats.org/officeDocument/2006/relationships/image" Target="media/32798c48241ed7ee8f20c47223188c186fc0afc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2026-09-24T04:59:01.345Z</dcterms:created>
  <dcterms:modified xsi:type="dcterms:W3CDTF">2026-09-24T04:59:01.346Z</dcterms:modified>
</cp:coreProperties>
</file>

<file path=docProps/custom.xml><?xml version="1.0" encoding="utf-8"?>
<Properties xmlns="http://schemas.openxmlformats.org/officeDocument/2006/custom-properties" xmlns:vt="http://schemas.openxmlformats.org/officeDocument/2006/docPropsVTypes"/>
</file>