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Georgia" w:cs="Georgia" w:eastAsia="Georgia" w:hAnsi="Georgia"/>
          <w:b/>
          <w:bCs/>
          <w:sz w:val="32"/>
          <w:szCs w:val="32"/>
        </w:rPr>
        <w:t xml:space="preserve">What Is a Recurring Revenue Business</w:t>
      </w:r>
    </w:p>
    <w:p>
      <w:pPr>
        <w:spacing w:after="200"/>
      </w:pPr>
      <w:r>
        <w:rPr>
          <w:rFonts w:ascii="Georgia" w:cs="Georgia" w:eastAsia="Georgia" w:hAnsi="Georgia"/>
          <w:sz w:val="23"/>
          <w:szCs w:val="23"/>
        </w:rPr>
        <w:t xml:space="preserve">A recurring revenue business is one structured around repeated, predictable payments from the same customer base, rather than one-off transactions that each require a fresh sale. Software subscriptions, media streaming, insurance premiums, and membership services are common examples. Predictability is the defining feature; whether it's also a durable competitive advantage is a separate question.</w:t>
      </w:r>
    </w:p>
    <w:p>
      <w:pPr>
        <w:pStyle w:val="Heading2"/>
        <w:spacing w:after="140" w:before="260"/>
      </w:pPr>
      <w:r>
        <w:rPr>
          <w:rFonts w:ascii="Georgia" w:cs="Georgia" w:eastAsia="Georgia" w:hAnsi="Georgia"/>
          <w:b/>
          <w:bCs/>
          <w:sz w:val="26"/>
          <w:szCs w:val="26"/>
        </w:rPr>
        <w:t xml:space="preserve">Why Predictability Is Valuable on Its Own</w:t>
      </w:r>
    </w:p>
    <w:p>
      <w:pPr>
        <w:spacing w:after="200"/>
      </w:pPr>
      <w:r>
        <w:rPr>
          <w:rFonts w:ascii="Georgia" w:cs="Georgia" w:eastAsia="Georgia" w:hAnsi="Georgia"/>
          <w:sz w:val="23"/>
          <w:szCs w:val="23"/>
        </w:rPr>
        <w:t xml:space="preserve">Recurring revenue makes near-term results easier to forecast, both for management planning and for outside investors evaluating the business, which typically supports a steadier valuation than a business dependent on repeated new customer wins each period. That planning benefit is real and independent of whether the recurring relationship itself is well protected from competition.</w:t>
      </w:r>
    </w:p>
    <w:p>
      <w:pPr>
        <w:pStyle w:val="Heading2"/>
        <w:spacing w:after="140" w:before="260"/>
      </w:pPr>
      <w:r>
        <w:rPr>
          <w:rFonts w:ascii="Georgia" w:cs="Georgia" w:eastAsia="Georgia" w:hAnsi="Georgia"/>
          <w:b/>
          <w:bCs/>
          <w:sz w:val="26"/>
          <w:szCs w:val="26"/>
        </w:rPr>
        <w:t xml:space="preserve">Where the Business Model Ends and the Moat Question Begins</w:t>
      </w:r>
    </w:p>
    <w:p>
      <w:pPr>
        <w:spacing w:after="200"/>
      </w:pPr>
      <w:r>
        <w:rPr>
          <w:rFonts w:ascii="Georgia" w:cs="Georgia" w:eastAsia="Georgia" w:hAnsi="Georgia"/>
          <w:sz w:val="23"/>
          <w:szCs w:val="23"/>
        </w:rPr>
        <w:t xml:space="preserve">Recurring billing describes structure, not durability. A subscription business retains customers because of specific reasons, genuine switching costs, network effects, a service customers have built workflows around, or simply because canceling requires an active decision most people postpone. The first three are structural and tend to hold up under competitive pressure; the last is closer to inertia and can unwind quickly once a competitor makes switching easy.</w:t>
      </w:r>
    </w:p>
    <w:p>
      <w:pPr>
        <w:pStyle w:val="Heading2"/>
        <w:spacing w:after="140" w:before="260"/>
      </w:pPr>
      <w:r>
        <w:rPr>
          <w:rFonts w:ascii="Georgia" w:cs="Georgia" w:eastAsia="Georgia" w:hAnsi="Georgia"/>
          <w:b/>
          <w:bCs/>
          <w:sz w:val="26"/>
          <w:szCs w:val="26"/>
        </w:rPr>
        <w:t xml:space="preserve">Common Recurring Revenue Categories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Georgia" w:cs="Georgia" w:eastAsia="Georgia" w:hAnsi="Georgia"/>
          <w:sz w:val="23"/>
          <w:szCs w:val="23"/>
        </w:rPr>
        <w:t xml:space="preserve">Software-as-a-service: billed monthly or annually, retention typically tied to workflow integration depth.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Georgia" w:cs="Georgia" w:eastAsia="Georgia" w:hAnsi="Georgia"/>
          <w:sz w:val="23"/>
          <w:szCs w:val="23"/>
        </w:rPr>
        <w:t xml:space="preserve">Media and content subscriptions: retention tied to content library breadth and habitual usage.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Georgia" w:cs="Georgia" w:eastAsia="Georgia" w:hAnsi="Georgia"/>
          <w:sz w:val="23"/>
          <w:szCs w:val="23"/>
        </w:rPr>
        <w:t xml:space="preserve">Insurance and financial services: retention tied to switching friction and, in some cases, regulatory or underwriting relationships.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Georgia" w:cs="Georgia" w:eastAsia="Georgia" w:hAnsi="Georgia"/>
          <w:sz w:val="23"/>
          <w:szCs w:val="23"/>
        </w:rPr>
        <w:t xml:space="preserve">Membership and loyalty models: retention tied to accumulated benefits or habitual usage patterns.</w:t>
      </w:r>
    </w:p>
    <w:p>
      <w:pPr>
        <w:spacing w:after="80" w:before="200"/>
        <w:jc w:val="center"/>
      </w:pPr>
      <w:r>
        <w:drawing>
          <wp:inline distT="0" distB="0" distL="0" distR="0">
            <wp:extent cx="54864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Georgia" w:cs="Georgia" w:eastAsia="Georgia" w:hAnsi="Georgia"/>
          <w:i/>
          <w:iCs/>
          <w:color w:val="666666"/>
          <w:sz w:val="19"/>
          <w:szCs w:val="19"/>
        </w:rPr>
        <w:t xml:space="preserve">Illustrative example: estimated customer lifetime value at $100 monthly revenue and 70% gross margin, across churn rates.</w:t>
      </w:r>
    </w:p>
    <w:p>
      <w:pPr>
        <w:pStyle w:val="Heading2"/>
        <w:spacing w:after="140" w:before="260"/>
      </w:pPr>
      <w:r>
        <w:rPr>
          <w:rFonts w:ascii="Georgia" w:cs="Georgia" w:eastAsia="Georgia" w:hAnsi="Georgia"/>
          <w:b/>
          <w:bCs/>
          <w:sz w:val="26"/>
          <w:szCs w:val="26"/>
        </w:rPr>
        <w:t xml:space="preserve">How MPLY's Screen Treats Recurring Revenue Businesses</w:t>
      </w:r>
    </w:p>
    <w:p>
      <w:pPr>
        <w:spacing w:after="200"/>
      </w:pPr>
      <w:r>
        <w:rPr>
          <w:rFonts w:ascii="Georgia" w:cs="Georgia" w:eastAsia="Georgia" w:hAnsi="Georgia"/>
          <w:sz w:val="23"/>
          <w:szCs w:val="23"/>
        </w:rPr>
        <w:t xml:space="preserve">Recurring revenue isn't named on its own in the Strategy Shares Monopoly ETF's (</w:t>
      </w:r>
      <w:r>
        <w:rPr>
          <w:rFonts w:ascii="Georgia" w:cs="Georgia" w:eastAsia="Georgia" w:hAnsi="Georgia"/>
          <w:b/>
          <w:bCs/>
          <w:sz w:val="23"/>
          <w:szCs w:val="23"/>
        </w:rPr>
        <w:t xml:space="preserve">MPLY</w:t>
      </w:r>
      <w:r>
        <w:rPr>
          <w:rFonts w:ascii="Georgia" w:cs="Georgia" w:eastAsia="Georgia" w:hAnsi="Georgia"/>
          <w:sz w:val="23"/>
          <w:szCs w:val="23"/>
        </w:rPr>
        <w:t xml:space="preserve">) stated criteria. The fund's process looks past the billing structure to the underlying reasons a customer relationship holds, industry concentration, switching costs' structural drivers, network effects, and the rest, which is the same distinction this article draws between predictable revenue and a genuine moat.</w:t>
      </w:r>
    </w:p>
    <w:p>
      <w:pPr>
        <w:spacing w:after="200"/>
      </w:pPr>
      <w:r>
        <w:rPr>
          <w:rFonts w:ascii="Georgia" w:cs="Georgia" w:eastAsia="Georgia" w:hAnsi="Georgia"/>
          <w:sz w:val="23"/>
          <w:szCs w:val="23"/>
        </w:rPr>
        <w:t xml:space="preserve">A recurring revenue business only fits MPLY's broader thesis if that underlying durability is present, not simply because it bills on a recurring schedule. See MPLY's investment approach on its </w:t>
      </w:r>
      <w:hyperlink w:history="1" r:id="rIdphlxwtiernqr3qwohlvf1">
        <w:r>
          <w:rPr>
            <w:rFonts w:ascii="Georgia" w:cs="Georgia" w:eastAsia="Georgia" w:hAnsi="Georgia"/>
            <w:color w:val="1155CC"/>
            <w:sz w:val="23"/>
            <w:szCs w:val="23"/>
            <w:u w:val="single"/>
          </w:rPr>
          <w:t xml:space="preserve">official page</w:t>
        </w:r>
      </w:hyperlink>
      <w:r>
        <w:rPr>
          <w:rFonts w:ascii="Georgia" w:cs="Georgia" w:eastAsia="Georgia" w:hAnsi="Georgia"/>
          <w:sz w:val="23"/>
          <w:szCs w:val="23"/>
        </w:rPr>
        <w:t xml:space="preserve"> for how this plays out across the fund's actual holdings.</w:t>
      </w:r>
    </w:p>
    <w:p>
      <w:pPr>
        <w:pStyle w:val="Heading2"/>
        <w:spacing w:after="140" w:before="260"/>
      </w:pPr>
      <w:r>
        <w:rPr>
          <w:rFonts w:ascii="Georgia" w:cs="Georgia" w:eastAsia="Georgia" w:hAnsi="Georgia"/>
          <w:b/>
          <w:bCs/>
          <w:sz w:val="26"/>
          <w:szCs w:val="26"/>
        </w:rPr>
        <w:t xml:space="preserve">Sources</w:t>
      </w:r>
    </w:p>
    <w:p>
      <w:pPr>
        <w:pStyle w:val="ListParagraph"/>
        <w:numPr>
          <w:ilvl w:val="0"/>
          <w:numId w:val="1"/>
        </w:numPr>
        <w:spacing w:after="100"/>
      </w:pPr>
      <w:hyperlink w:history="1" r:id="rIdn2h-auutqte6je-wa9mfd">
        <w:r>
          <w:rPr>
            <w:rFonts w:ascii="Georgia" w:cs="Georgia" w:eastAsia="Georgia" w:hAnsi="Georgia"/>
            <w:color w:val="1155CC"/>
            <w:sz w:val="23"/>
            <w:szCs w:val="23"/>
            <w:u w:val="single"/>
          </w:rPr>
          <w:t xml:space="preserve">Strategy Shares Monopoly ETF official fund page (screening criteria)</w:t>
        </w:r>
      </w:hyperlink>
    </w:p>
    <w:p>
      <w:pPr>
        <w:spacing w:after="0" w:before="280"/>
      </w:pPr>
      <w:r>
        <w:rPr>
          <w:rFonts w:ascii="Georgia" w:cs="Georgia" w:eastAsia="Georgia" w:hAnsi="Georgia"/>
          <w:color w:val="1F4E78"/>
          <w:sz w:val="22"/>
          <w:szCs w:val="22"/>
        </w:rPr>
        <w:t xml:space="preserve">#RecurringRevenue #BusinessModels #SubscriptionBusiness #EconomicMoat #MPLY #Investing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hlxwtiernqr3qwohlvf1" Type="http://schemas.openxmlformats.org/officeDocument/2006/relationships/hyperlink" Target="https://strategysharesetfs.com/mply/" TargetMode="External"/><Relationship Id="rIdn2h-auutqte6je-wa9mfd" Type="http://schemas.openxmlformats.org/officeDocument/2006/relationships/hyperlink" Target="https://strategysharesetfs.com/mply/" TargetMode="External"/><Relationship Id="rId7" Type="http://schemas.openxmlformats.org/officeDocument/2006/relationships/image" Target="media/9b8dd5c141b007db461f7672e5287bbc31a8c25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2026-09-24T04:59:01.542Z</dcterms:created>
  <dcterms:modified xsi:type="dcterms:W3CDTF">2026-09-24T04:59:01.542Z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