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How Switching Costs Protect Recurring Revenue</w:t>
      </w:r>
    </w:p>
    <w:p>
      <w:pPr>
        <w:spacing w:after="200"/>
      </w:pPr>
      <w:r>
        <w:rPr>
          <w:rFonts w:ascii="Georgia" w:cs="Georgia" w:eastAsia="Georgia" w:hAnsi="Georgia"/>
          <w:sz w:val="23"/>
          <w:szCs w:val="23"/>
        </w:rPr>
        <w:t xml:space="preserve">Recurring revenue and switching costs get discussed separately often enough that it's easy to miss how directly one depends on the other. A subscription is just a billing pattern; what actually keeps that billing pattern intact quarter after quarter is whatever makes canceling harder than renewing. Switching costs are the mechanism, and recurring revenue is the outcome, not the other way around.</w:t>
      </w:r>
    </w:p>
    <w:p>
      <w:pPr>
        <w:pStyle w:val="Heading2"/>
        <w:spacing w:after="140" w:before="260"/>
      </w:pPr>
      <w:r>
        <w:rPr>
          <w:rFonts w:ascii="Georgia" w:cs="Georgia" w:eastAsia="Georgia" w:hAnsi="Georgia"/>
          <w:b/>
          <w:bCs/>
          <w:sz w:val="26"/>
          <w:szCs w:val="26"/>
        </w:rPr>
        <w:t xml:space="preserve">The Problem: A Subscription Alone Doesn't Protect Itself</w:t>
      </w:r>
    </w:p>
    <w:p>
      <w:pPr>
        <w:spacing w:after="200"/>
      </w:pPr>
      <w:r>
        <w:rPr>
          <w:rFonts w:ascii="Georgia" w:cs="Georgia" w:eastAsia="Georgia" w:hAnsi="Georgia"/>
          <w:sz w:val="23"/>
          <w:szCs w:val="23"/>
        </w:rPr>
        <w:t xml:space="preserve">Any company can set up recurring billing. Doing so doesn't create durability on its own; it just changes how a customer's decision to leave gets triggered, from an active purchase decision to an active cancellation decision. If nothing else is holding the customer in place, that's a weaker form of retention than it looks like on a revenue chart, because a competitor only has to make canceling and switching easy enough to convert a passive subscriber.</w:t>
      </w:r>
    </w:p>
    <w:p>
      <w:pPr>
        <w:pStyle w:val="Heading2"/>
        <w:spacing w:after="140" w:before="260"/>
      </w:pPr>
      <w:r>
        <w:rPr>
          <w:rFonts w:ascii="Georgia" w:cs="Georgia" w:eastAsia="Georgia" w:hAnsi="Georgia"/>
          <w:b/>
          <w:bCs/>
          <w:sz w:val="26"/>
          <w:szCs w:val="26"/>
        </w:rPr>
        <w:t xml:space="preserve">The Mechanism: Cloud Infrastructure as a Clean Example</w:t>
      </w:r>
    </w:p>
    <w:p>
      <w:pPr>
        <w:spacing w:after="200"/>
      </w:pPr>
      <w:r>
        <w:rPr>
          <w:rFonts w:ascii="Georgia" w:cs="Georgia" w:eastAsia="Georgia" w:hAnsi="Georgia"/>
          <w:sz w:val="23"/>
          <w:szCs w:val="23"/>
        </w:rPr>
        <w:t xml:space="preserve">Enterprise cloud infrastructure shows the mechanism at full strength. A company that has built its applications around a specific cloud provider's architecture, storage formats, networking setup, and proprietary services has created technical dependencies that go well beyond a monthly bill. Migrating to a different provider means rewriting integrations, re-testing performance, retraining engineers, and accepting real operational risk during the transition. That technical entanglement is what converts a recurring bill into recurring revenue a competitor can't easily take away, the switching cost is doing the actual protective work, not the billing cycle.</w:t>
      </w:r>
    </w:p>
    <w:p>
      <w:pPr>
        <w:pStyle w:val="Heading2"/>
        <w:spacing w:after="140" w:before="260"/>
      </w:pPr>
      <w:r>
        <w:rPr>
          <w:rFonts w:ascii="Georgia" w:cs="Georgia" w:eastAsia="Georgia" w:hAnsi="Georgia"/>
          <w:b/>
          <w:bCs/>
          <w:sz w:val="26"/>
          <w:szCs w:val="26"/>
        </w:rPr>
        <w:t xml:space="preserve">Why the Distinction Changes How You'd Evaluate the Business</w:t>
      </w:r>
    </w:p>
    <w:p>
      <w:pPr>
        <w:spacing w:after="200"/>
      </w:pPr>
      <w:r>
        <w:rPr>
          <w:rFonts w:ascii="Georgia" w:cs="Georgia" w:eastAsia="Georgia" w:hAnsi="Georgia"/>
          <w:sz w:val="23"/>
          <w:szCs w:val="23"/>
        </w:rPr>
        <w:t xml:space="preserve">A company whose recurring revenue rests on genuine switching costs should show retention that holds up even when a customer is unhappy with pricing, because the alternative, migrating away, carries its own cost regardless of price. A company whose recurring revenue rests only on subscription inertia should show retention that's more sensitive to price increases and competitor promotions, since there's nothing beyond the billing habit standing between the customer and a cheaper alternative.</w:t>
      </w:r>
    </w:p>
    <w:p>
      <w:pPr>
        <w:pStyle w:val="Heading2"/>
        <w:spacing w:after="140" w:before="260"/>
      </w:pPr>
      <w:r>
        <w:rPr>
          <w:rFonts w:ascii="Georgia" w:cs="Georgia" w:eastAsia="Georgia" w:hAnsi="Georgia"/>
          <w:b/>
          <w:bCs/>
          <w:sz w:val="26"/>
          <w:szCs w:val="26"/>
        </w:rPr>
        <w:t xml:space="preserve">Where the Protection Weakens</w:t>
      </w:r>
    </w:p>
    <w:p>
      <w:pPr>
        <w:spacing w:after="200"/>
      </w:pPr>
      <w:r>
        <w:rPr>
          <w:rFonts w:ascii="Georgia" w:cs="Georgia" w:eastAsia="Georgia" w:hAnsi="Georgia"/>
          <w:sz w:val="23"/>
          <w:szCs w:val="23"/>
        </w:rPr>
        <w:t xml:space="preserve">Switching costs erode when an industry standardizes: if data formats, APIs, or integration patterns become portable across providers, through open standards or third-party migration tools, the technical lock-in that used to protect a recurring revenue base can shrink even while the subscription itself keeps billing normally, right up until a competitor's migration offer makes leaving easy enough to actually take.</w:t>
      </w:r>
    </w:p>
    <w:p>
      <w:pPr>
        <w:pStyle w:val="Heading2"/>
        <w:spacing w:after="140" w:before="260"/>
      </w:pPr>
      <w:r>
        <w:rPr>
          <w:rFonts w:ascii="Georgia" w:cs="Georgia" w:eastAsia="Georgia" w:hAnsi="Georgia"/>
          <w:b/>
          <w:bCs/>
          <w:sz w:val="26"/>
          <w:szCs w:val="26"/>
        </w:rPr>
        <w:t xml:space="preserve">How This Connects to MPLY's Screening Approach</w:t>
      </w:r>
    </w:p>
    <w:p>
      <w:pPr>
        <w:spacing w:after="200"/>
      </w:pPr>
      <w:r>
        <w:rPr>
          <w:rFonts w:ascii="Georgia" w:cs="Georgia" w:eastAsia="Georgia" w:hAnsi="Georgia"/>
          <w:sz w:val="23"/>
          <w:szCs w:val="23"/>
        </w:rPr>
        <w:t xml:space="preserve">Switching costs and recurring revenue durability both feed into criteria named directly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approach, industry concentration and pricing power specifically. The fund's process is consistent with the mechanism described above: a recurring-revenue business is evaluated on what's actually protecting the relationship, not on the existence of a subscription model itself. A billing pattern by itself doesn't indicate the kind of durable position the fund's screen is built to identify; the underlying switching cost does.</w:t>
      </w:r>
    </w:p>
    <w:p>
      <w:pPr>
        <w:spacing w:after="200"/>
      </w:pPr>
      <w:r>
        <w:rPr>
          <w:rFonts w:ascii="Georgia" w:cs="Georgia" w:eastAsia="Georgia" w:hAnsi="Georgia"/>
          <w:sz w:val="23"/>
          <w:szCs w:val="23"/>
        </w:rPr>
        <w:t xml:space="preserve">MPLY's </w:t>
      </w:r>
      <w:hyperlink w:history="1" r:id="rIdnoyz69qzrwccl2cppd5yz">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publishes the fund's current holdings and investment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iegr7_77947qpqibi_0j6">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#SwitchingCosts #RecurringRevenue #EconomicMoat #CompetitiveAdvantage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oyz69qzrwccl2cppd5yz" Type="http://schemas.openxmlformats.org/officeDocument/2006/relationships/hyperlink" Target="https://strategysharesetfs.com/mply/" TargetMode="External"/><Relationship Id="rIdiegr7_77947qpqibi_0j6"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2026-09-23T11:16:32.272Z</dcterms:created>
  <dcterms:modified xsi:type="dcterms:W3CDTF">2026-09-23T11:16:32.273Z</dcterms:modified>
</cp:coreProperties>
</file>

<file path=docProps/custom.xml><?xml version="1.0" encoding="utf-8"?>
<Properties xmlns="http://schemas.openxmlformats.org/officeDocument/2006/custom-properties" xmlns:vt="http://schemas.openxmlformats.org/officeDocument/2006/docPropsVTypes"/>
</file>