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0"/>
      </w:pPr>
      <w:r>
        <w:rPr>
          <w:rFonts w:ascii="Georgia" w:cs="Georgia" w:eastAsia="Georgia" w:hAnsi="Georgia"/>
          <w:b/>
          <w:bCs/>
          <w:sz w:val="32"/>
          <w:szCs w:val="32"/>
        </w:rPr>
        <w:t xml:space="preserve">How Pricing Power Protects Profit Margins</w:t>
      </w:r>
    </w:p>
    <w:p>
      <w:pPr>
        <w:spacing w:after="200"/>
      </w:pPr>
      <w:r>
        <w:rPr>
          <w:rFonts w:ascii="Georgia" w:cs="Georgia" w:eastAsia="Georgia" w:hAnsi="Georgia"/>
          <w:sz w:val="23"/>
          <w:szCs w:val="23"/>
        </w:rPr>
        <w:t xml:space="preserve">Rising costs hit every company eventually, materials, labor, energy, shipping. What separates companies whose margins survive that pressure from companies whose margins collapse under it is whether they can raise their own prices in response. That ability, pricing power, is the mechanism specifically protecting margins, as distinct from the broader competitive-advantage question of why a company has pricing power in the first place.</w:t>
      </w:r>
    </w:p>
    <w:p>
      <w:pPr>
        <w:pStyle w:val="Heading2"/>
        <w:spacing w:after="140" w:before="260"/>
      </w:pPr>
      <w:r>
        <w:rPr>
          <w:rFonts w:ascii="Georgia" w:cs="Georgia" w:eastAsia="Georgia" w:hAnsi="Georgia"/>
          <w:b/>
          <w:bCs/>
          <w:sz w:val="26"/>
          <w:szCs w:val="26"/>
        </w:rPr>
        <w:t xml:space="preserve">The Mechanic: Passing Costs Through Without Losing Volume</w:t>
      </w:r>
    </w:p>
    <w:p>
      <w:pPr>
        <w:spacing w:after="200"/>
      </w:pPr>
      <w:r>
        <w:rPr>
          <w:rFonts w:ascii="Georgia" w:cs="Georgia" w:eastAsia="Georgia" w:hAnsi="Georgia"/>
          <w:sz w:val="23"/>
          <w:szCs w:val="23"/>
        </w:rPr>
        <w:t xml:space="preserve">When an input cost rises, a company has two basic options: absorb it, letting margins compress, or pass it along through higher prices. Passing it through only works without losing meaningful volume if customers have limited alternatives or are willing to pay more rather than switch. Airlines' historical use of fuel surcharges shows this mechanic directly: when jet fuel prices spike, airlines have repeatedly added surcharges tied to the higher cost, passing the increase through to ticket prices rather than absorbing it into thinner margins, a practice that only works because switching to a different airline over a modest fare increase is inconvenient enough that most passengers don't bother.</w:t>
      </w:r>
    </w:p>
    <w:p>
      <w:pPr>
        <w:pStyle w:val="Heading2"/>
        <w:spacing w:after="140" w:before="260"/>
      </w:pPr>
      <w:r>
        <w:rPr>
          <w:rFonts w:ascii="Georgia" w:cs="Georgia" w:eastAsia="Georgia" w:hAnsi="Georgia"/>
          <w:b/>
          <w:bCs/>
          <w:sz w:val="26"/>
          <w:szCs w:val="26"/>
        </w:rPr>
        <w:t xml:space="preserve">Gross Margin Is Where This Shows Up First</w:t>
      </w:r>
    </w:p>
    <w:p>
      <w:pPr>
        <w:spacing w:after="200"/>
      </w:pPr>
      <w:r>
        <w:rPr>
          <w:rFonts w:ascii="Georgia" w:cs="Georgia" w:eastAsia="Georgia" w:hAnsi="Georgia"/>
          <w:sz w:val="23"/>
          <w:szCs w:val="23"/>
        </w:rPr>
        <w:t xml:space="preserve">The clearest place to see pricing power working is gross margin during a period of input cost inflation. If a company's cost of goods sold rises 8% and its gross margin percentage holds steady or improves, it has priced ahead of or in line with its own cost increases. If gross margin compresses meaningfully during the same period, the company is absorbing cost pressure rather than passing it through, evidence of weaker pricing power regardless of what management says on an earnings call.</w:t>
      </w:r>
    </w:p>
    <w:p>
      <w:pPr>
        <w:pStyle w:val="Heading2"/>
        <w:spacing w:after="140" w:before="260"/>
      </w:pPr>
      <w:r>
        <w:rPr>
          <w:rFonts w:ascii="Georgia" w:cs="Georgia" w:eastAsia="Georgia" w:hAnsi="Georgia"/>
          <w:b/>
          <w:bCs/>
          <w:sz w:val="26"/>
          <w:szCs w:val="26"/>
        </w:rPr>
        <w:t xml:space="preserve">Why Margin Protection Compounds Over Time</w:t>
      </w:r>
    </w:p>
    <w:p>
      <w:pPr>
        <w:spacing w:after="200"/>
      </w:pPr>
      <w:r>
        <w:rPr>
          <w:rFonts w:ascii="Georgia" w:cs="Georgia" w:eastAsia="Georgia" w:hAnsi="Georgia"/>
          <w:sz w:val="23"/>
          <w:szCs w:val="23"/>
        </w:rPr>
        <w:t xml:space="preserve">A single successful price increase protects one period's margin. Durable pricing power protects margins across multiple inflationary periods and multiple competitive cycles, which is a meaningfully higher bar. Companies that can only pass through costs during periods when the whole industry is raising prices together, and lose that ability the moment competitors hold prices steady to gain share, have weaker, more conditional pricing power than companies that can raise prices independent of what competitors are doing.</w:t>
      </w:r>
    </w:p>
    <w:p>
      <w:pPr>
        <w:pStyle w:val="Heading2"/>
        <w:spacing w:after="140" w:before="260"/>
      </w:pPr>
      <w:r>
        <w:rPr>
          <w:rFonts w:ascii="Georgia" w:cs="Georgia" w:eastAsia="Georgia" w:hAnsi="Georgia"/>
          <w:b/>
          <w:bCs/>
          <w:sz w:val="26"/>
          <w:szCs w:val="26"/>
        </w:rPr>
        <w:t xml:space="preserve">Where Margin Protection Fails</w:t>
      </w:r>
    </w:p>
    <w:p>
      <w:pPr>
        <w:spacing w:after="200"/>
      </w:pPr>
      <w:r>
        <w:rPr>
          <w:rFonts w:ascii="Georgia" w:cs="Georgia" w:eastAsia="Georgia" w:hAnsi="Georgia"/>
          <w:sz w:val="23"/>
          <w:szCs w:val="23"/>
        </w:rPr>
        <w:t xml:space="preserve">Pricing power protects margins only up to the point customers' patience or alternatives run out. A company that raises prices repeatedly without a corresponding increase in perceived value eventually pushes even loyal customers toward substitutes, or invites regulatory scrutiny if the price increases look coordinated with competitors rather than independently justified. Margin protection through pricing is a lever, not a guarantee, and it has diminishing returns the more it's used.</w:t>
      </w:r>
    </w:p>
    <w:p>
      <w:pPr>
        <w:pStyle w:val="Heading2"/>
        <w:spacing w:after="140" w:before="260"/>
      </w:pPr>
      <w:r>
        <w:rPr>
          <w:rFonts w:ascii="Georgia" w:cs="Georgia" w:eastAsia="Georgia" w:hAnsi="Georgia"/>
          <w:b/>
          <w:bCs/>
          <w:sz w:val="26"/>
          <w:szCs w:val="26"/>
        </w:rPr>
        <w:t xml:space="preserve">How MPLY's Screen Applies to Margin Durability</w:t>
      </w:r>
    </w:p>
    <w:p>
      <w:pPr>
        <w:spacing w:after="200"/>
      </w:pPr>
      <w:r>
        <w:rPr>
          <w:rFonts w:ascii="Georgia" w:cs="Georgia" w:eastAsia="Georgia" w:hAnsi="Georgia"/>
          <w:sz w:val="23"/>
          <w:szCs w:val="23"/>
        </w:rPr>
        <w:t xml:space="preserve">Pricing power is named directly in the Strategy Shares Monopoly ETF's (</w:t>
      </w:r>
      <w:r>
        <w:rPr>
          <w:rFonts w:ascii="Georgia" w:cs="Georgia" w:eastAsia="Georgia" w:hAnsi="Georgia"/>
          <w:b/>
          <w:bCs/>
          <w:sz w:val="23"/>
          <w:szCs w:val="23"/>
        </w:rPr>
        <w:t xml:space="preserve">MPLY</w:t>
      </w:r>
      <w:r>
        <w:rPr>
          <w:rFonts w:ascii="Georgia" w:cs="Georgia" w:eastAsia="Georgia" w:hAnsi="Georgia"/>
          <w:sz w:val="23"/>
          <w:szCs w:val="23"/>
        </w:rPr>
        <w:t xml:space="preserve">) stated criteria, and margin behavior during cost pressure is one of the more concrete, testable ways to evaluate whether a candidate actually has it, rather than simply appearing to based on brand reputation or market position alone.</w:t>
      </w:r>
    </w:p>
    <w:p>
      <w:pPr>
        <w:spacing w:after="200"/>
      </w:pPr>
      <w:r>
        <w:rPr>
          <w:rFonts w:ascii="Georgia" w:cs="Georgia" w:eastAsia="Georgia" w:hAnsi="Georgia"/>
          <w:sz w:val="23"/>
          <w:szCs w:val="23"/>
        </w:rPr>
        <w:t xml:space="preserve">The fund's </w:t>
      </w:r>
      <w:hyperlink w:history="1" r:id="rIdwceyw5ninqpvskfyygwwl">
        <w:r>
          <w:rPr>
            <w:rFonts w:ascii="Georgia" w:cs="Georgia" w:eastAsia="Georgia" w:hAnsi="Georgia"/>
            <w:color w:val="1155CC"/>
            <w:sz w:val="23"/>
            <w:szCs w:val="23"/>
            <w:u w:val="single"/>
          </w:rPr>
          <w:t xml:space="preserve">official page</w:t>
        </w:r>
      </w:hyperlink>
      <w:r>
        <w:rPr>
          <w:rFonts w:ascii="Georgia" w:cs="Georgia" w:eastAsia="Georgia" w:hAnsi="Georgia"/>
          <w:sz w:val="23"/>
          <w:szCs w:val="23"/>
        </w:rPr>
        <w:t xml:space="preserve"> details its full investment approach and current holdings.</w:t>
      </w:r>
    </w:p>
    <w:p>
      <w:pPr>
        <w:pStyle w:val="Heading2"/>
        <w:spacing w:after="140" w:before="260"/>
      </w:pPr>
      <w:r>
        <w:rPr>
          <w:rFonts w:ascii="Georgia" w:cs="Georgia" w:eastAsia="Georgia" w:hAnsi="Georgia"/>
          <w:b/>
          <w:bCs/>
          <w:sz w:val="26"/>
          <w:szCs w:val="26"/>
        </w:rPr>
        <w:t xml:space="preserve">Sources</w:t>
      </w:r>
    </w:p>
    <w:p>
      <w:pPr>
        <w:pStyle w:val="ListParagraph"/>
        <w:numPr>
          <w:ilvl w:val="0"/>
          <w:numId w:val="1"/>
        </w:numPr>
        <w:spacing w:after="100"/>
      </w:pPr>
      <w:hyperlink w:history="1" r:id="rIdabagweu0jnhlq5jhpruyg">
        <w:r>
          <w:rPr>
            <w:rFonts w:ascii="Georgia" w:cs="Georgia" w:eastAsia="Georgia" w:hAnsi="Georgia"/>
            <w:color w:val="1155CC"/>
            <w:sz w:val="23"/>
            <w:szCs w:val="23"/>
            <w:u w:val="single"/>
          </w:rPr>
          <w:t xml:space="preserve">Strategy Shares Monopoly ETF official fund page (screening criteria)</w:t>
        </w:r>
      </w:hyperlink>
    </w:p>
    <w:p>
      <w:pPr>
        <w:spacing w:after="0" w:before="280"/>
      </w:pPr>
      <w:r>
        <w:rPr>
          <w:rFonts w:ascii="Georgia" w:cs="Georgia" w:eastAsia="Georgia" w:hAnsi="Georgia"/>
          <w:color w:val="1F4E78"/>
          <w:sz w:val="22"/>
          <w:szCs w:val="22"/>
        </w:rPr>
        <w:t xml:space="preserve">#PricingPower #ProfitMargins #EconomicMoat #CompetitiveAdvantage #MPLY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ceyw5ninqpvskfyygwwl" Type="http://schemas.openxmlformats.org/officeDocument/2006/relationships/hyperlink" Target="https://strategysharesetfs.com/mply/" TargetMode="External"/><Relationship Id="rIdabagweu0jnhlq5jhpruyg" Type="http://schemas.openxmlformats.org/officeDocument/2006/relationships/hyperlink" Target="https://strategysharesetfs.com/mply/"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2026-09-23T11:16:32.313Z</dcterms:created>
  <dcterms:modified xsi:type="dcterms:W3CDTF">2026-09-23T11:16:32.313Z</dcterms:modified>
</cp:coreProperties>
</file>

<file path=docProps/custom.xml><?xml version="1.0" encoding="utf-8"?>
<Properties xmlns="http://schemas.openxmlformats.org/officeDocument/2006/custom-properties" xmlns:vt="http://schemas.openxmlformats.org/officeDocument/2006/docPropsVTypes"/>
</file>