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How to Identify a Durable Economic Moat</w:t>
      </w:r>
    </w:p>
    <w:p>
      <w:pPr>
        <w:spacing w:after="200"/>
      </w:pPr>
      <w:r>
        <w:rPr>
          <w:rFonts w:ascii="Georgia" w:cs="Georgia" w:eastAsia="Georgia" w:hAnsi="Georgia"/>
          <w:sz w:val="23"/>
          <w:szCs w:val="23"/>
        </w:rPr>
        <w:t xml:space="preserve">Identifying a moat isn't the same exercise as identifying a good company. A profitable, well-run business can still lack a durable advantage, and a company going through a rough patch can still have a real moat protecting its long-term economics. This is a practical checklist for separating the two, built around what to actually check, not just what to believe.</w:t>
      </w:r>
    </w:p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Start With the Financial Signature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Georgia" w:cs="Georgia" w:eastAsia="Georgia" w:hAnsi="Georgia"/>
          <w:sz w:val="23"/>
          <w:szCs w:val="23"/>
        </w:rPr>
        <w:t xml:space="preserve">Gross margin trend over 5-10 years: stable or expanding margins through multiple cost cycles suggest pricing power; steadily compressing margins suggest the opposite.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Georgia" w:cs="Georgia" w:eastAsia="Georgia" w:hAnsi="Georgia"/>
          <w:sz w:val="23"/>
          <w:szCs w:val="23"/>
        </w:rPr>
        <w:t xml:space="preserve">Return on invested capital versus cost of capital: a sustained, wide spread indicates real economic profit; a spread near zero suggests no durable advantage regardless of headline profitability.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Georgia" w:cs="Georgia" w:eastAsia="Georgia" w:hAnsi="Georgia"/>
          <w:sz w:val="23"/>
          <w:szCs w:val="23"/>
        </w:rPr>
        <w:t xml:space="preserve">Market share trend over a full economic cycle, not just the past year or two: share that holds or grows through both expansions and downturns is a stronger signal than share that only grows in good times.</w:t>
      </w:r>
    </w:p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Then Check for a Specific, Nameable Source</w:t>
      </w:r>
    </w:p>
    <w:p>
      <w:pPr>
        <w:spacing w:after="200"/>
      </w:pPr>
      <w:r>
        <w:rPr>
          <w:rFonts w:ascii="Georgia" w:cs="Georgia" w:eastAsia="Georgia" w:hAnsi="Georgia"/>
          <w:sz w:val="23"/>
          <w:szCs w:val="23"/>
        </w:rPr>
        <w:t xml:space="preserve">A moat should be traceable to a specific mechanism, cost advantage, switching costs, network effects, brand, efficient scale, or a regulatory or IP barrier, not just asserted as "strong competitive position." If the answer to "why can't a well-funded competitor take this company's customers" is vague, the moat claim is probably vague too. Naming the actual mechanism also tells you what to monitor: a brand-based moat needs different tracking than a switching-cost-based one.</w:t>
      </w:r>
    </w:p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Stress-Test It Against a Real or Hypothetical Challenger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Georgia" w:cs="Georgia" w:eastAsia="Georgia" w:hAnsi="Georgia"/>
          <w:sz w:val="23"/>
          <w:szCs w:val="23"/>
        </w:rPr>
        <w:t xml:space="preserve">Has a well-capitalized competitor actually tried to take share in this market, and what happened when they did?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Georgia" w:cs="Georgia" w:eastAsia="Georgia" w:hAnsi="Georgia"/>
          <w:sz w:val="23"/>
          <w:szCs w:val="23"/>
        </w:rPr>
        <w:t xml:space="preserve">If no one has seriously tried, is that because the moat is strong, or because the market hasn't looked attractive enough yet to draw a serious challenger?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Georgia" w:cs="Georgia" w:eastAsia="Georgia" w:hAnsi="Georgia"/>
          <w:sz w:val="23"/>
          <w:szCs w:val="23"/>
        </w:rPr>
        <w:t xml:space="preserve">What would a challenger with unlimited capital but no existing customer relationships need to do to compete meaningfully within three to five years?</w:t>
      </w:r>
    </w:p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Watch for Common False Positives</w:t>
      </w:r>
    </w:p>
    <w:p>
      <w:pPr>
        <w:spacing w:after="200"/>
      </w:pPr>
      <w:r>
        <w:rPr>
          <w:rFonts w:ascii="Georgia" w:cs="Georgia" w:eastAsia="Georgia" w:hAnsi="Georgia"/>
          <w:sz w:val="23"/>
          <w:szCs w:val="23"/>
        </w:rPr>
        <w:t xml:space="preserve">High current market share without evidence of why it's protected. A well-known brand without current evidence of pricing power. Consistent recent profitability that hasn't yet been tested by a downturn or a serious competitor. Each of these can look like a moat on a surface read of the numbers while actually reflecting a temporary or untested advantage rather than a durable one.</w:t>
      </w:r>
    </w:p>
    <w:p>
      <w:pPr>
        <w:spacing w:after="80" w:before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Georgia" w:cs="Georgia" w:eastAsia="Georgia" w:hAnsi="Georgia"/>
          <w:i/>
          <w:iCs/>
          <w:color w:val="666666"/>
          <w:sz w:val="19"/>
          <w:szCs w:val="19"/>
        </w:rPr>
        <w:t xml:space="preserve">The ROIC-versus-WACC spread is one of the more concrete financial signals in this checklist. See No. 026 for the full quantitative framework.</w:t>
      </w:r>
    </w:p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How This Checklist Relates to MPLY's Screening Approach</w:t>
      </w:r>
    </w:p>
    <w:p>
      <w:pPr>
        <w:spacing w:after="200"/>
      </w:pPr>
      <w:r>
        <w:rPr>
          <w:rFonts w:ascii="Georgia" w:cs="Georgia" w:eastAsia="Georgia" w:hAnsi="Georgia"/>
          <w:sz w:val="23"/>
          <w:szCs w:val="23"/>
        </w:rPr>
        <w:t xml:space="preserve">This practical checklist overlaps closely with how the Strategy Shares Monopoly ETF (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MPLY</w:t>
      </w:r>
      <w:r>
        <w:rPr>
          <w:rFonts w:ascii="Georgia" w:cs="Georgia" w:eastAsia="Georgia" w:hAnsi="Georgia"/>
          <w:sz w:val="23"/>
          <w:szCs w:val="23"/>
        </w:rPr>
        <w:t xml:space="preserve">) describes its own process: evaluating brand dominance, regulatory exclusivity, industry concentration, barriers to entry, pricing power, supply-chain control, network effects, and protected IP as specific, nameable characteristics rather than a general impression of quality. The fund's approach is a version of the same discipline this checklist describes, verify the specific mechanism, don't take durability on faith.</w:t>
      </w:r>
    </w:p>
    <w:p>
      <w:pPr>
        <w:spacing w:after="200"/>
      </w:pPr>
      <w:r>
        <w:rPr>
          <w:rFonts w:ascii="Georgia" w:cs="Georgia" w:eastAsia="Georgia" w:hAnsi="Georgia"/>
          <w:sz w:val="23"/>
          <w:szCs w:val="23"/>
        </w:rPr>
        <w:t xml:space="preserve">Readers can review the fund's </w:t>
      </w:r>
      <w:hyperlink w:history="1" r:id="rIddsnfwuxazdyajuus3anxh">
        <w:r>
          <w:rPr>
            <w:rFonts w:ascii="Georgia" w:cs="Georgia" w:eastAsia="Georgia" w:hAnsi="Georgia"/>
            <w:color w:val="1155CC"/>
            <w:sz w:val="23"/>
            <w:szCs w:val="23"/>
            <w:u w:val="single"/>
          </w:rPr>
          <w:t xml:space="preserve">current holdings and full methodology</w:t>
        </w:r>
      </w:hyperlink>
      <w:r>
        <w:rPr>
          <w:rFonts w:ascii="Georgia" w:cs="Georgia" w:eastAsia="Georgia" w:hAnsi="Georgia"/>
          <w:sz w:val="23"/>
          <w:szCs w:val="23"/>
        </w:rPr>
        <w:t xml:space="preserve"> on its official page.</w:t>
      </w:r>
    </w:p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FAQ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sz w:val="23"/>
          <w:szCs w:val="23"/>
        </w:rPr>
        <w:t xml:space="preserve">How many years of financial data should I look at before concluding a moat is durable?</w:t>
      </w:r>
    </w:p>
    <w:p>
      <w:pPr>
        <w:spacing w:after="200"/>
      </w:pPr>
      <w:r>
        <w:rPr>
          <w:rFonts w:ascii="Georgia" w:cs="Georgia" w:eastAsia="Georgia" w:hAnsi="Georgia"/>
          <w:sz w:val="23"/>
          <w:szCs w:val="23"/>
        </w:rPr>
        <w:t xml:space="preserve">There's no fixed number, but a full economic cycle, including at least one meaningful downturn, is a reasonable minimum. Two or three strong years alone can't distinguish a durable advantage from a temporary tailwind.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sz w:val="23"/>
          <w:szCs w:val="23"/>
        </w:rPr>
        <w:t xml:space="preserve">Can a company have more than one type of moat at once?</w:t>
      </w:r>
    </w:p>
    <w:p>
      <w:pPr>
        <w:spacing w:after="200"/>
      </w:pPr>
      <w:r>
        <w:rPr>
          <w:rFonts w:ascii="Georgia" w:cs="Georgia" w:eastAsia="Georgia" w:hAnsi="Georgia"/>
          <w:sz w:val="23"/>
          <w:szCs w:val="23"/>
        </w:rPr>
        <w:t xml:space="preserve">Yes, and it's common among the most durable businesses. A company might combine brand strength with switching costs, or network effects with regulatory barriers. Layered advantages are generally harder to displace than any single source alone.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sz w:val="23"/>
          <w:szCs w:val="23"/>
        </w:rPr>
        <w:t xml:space="preserve">Is a moat checklist a substitute for valuation?</w:t>
      </w:r>
    </w:p>
    <w:p>
      <w:pPr>
        <w:spacing w:after="200"/>
      </w:pPr>
      <w:r>
        <w:rPr>
          <w:rFonts w:ascii="Georgia" w:cs="Georgia" w:eastAsia="Georgia" w:hAnsi="Georgia"/>
          <w:sz w:val="23"/>
          <w:szCs w:val="23"/>
        </w:rPr>
        <w:t xml:space="preserve">No. Identifying a durable moat answers whether a business's economics are protected, not whether its stock is priced reasonably. A genuinely moated business can still be a poor investment at the wrong price.</w:t>
      </w:r>
    </w:p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Sources</w:t>
      </w:r>
    </w:p>
    <w:p>
      <w:pPr>
        <w:pStyle w:val="ListParagraph"/>
        <w:numPr>
          <w:ilvl w:val="0"/>
          <w:numId w:val="1"/>
        </w:numPr>
        <w:spacing w:after="100"/>
      </w:pPr>
      <w:hyperlink w:history="1" r:id="rIdvtzrhk82f1dbsamwulg3k">
        <w:r>
          <w:rPr>
            <w:rFonts w:ascii="Georgia" w:cs="Georgia" w:eastAsia="Georgia" w:hAnsi="Georgia"/>
            <w:color w:val="1155CC"/>
            <w:sz w:val="23"/>
            <w:szCs w:val="23"/>
            <w:u w:val="single"/>
          </w:rPr>
          <w:t xml:space="preserve">Strategy Shares Monopoly ETF official fund page (screening criteria)</w:t>
        </w:r>
      </w:hyperlink>
    </w:p>
    <w:p>
      <w:pPr>
        <w:spacing w:after="0" w:before="280"/>
      </w:pPr>
      <w:r>
        <w:rPr>
          <w:rFonts w:ascii="Georgia" w:cs="Georgia" w:eastAsia="Georgia" w:hAnsi="Georgia"/>
          <w:color w:val="1F4E78"/>
          <w:sz w:val="22"/>
          <w:szCs w:val="22"/>
        </w:rPr>
        <w:t xml:space="preserve">#EconomicMoat #MoatAnalysis #CompetitiveAdvantage #StockResearch #MPLY #Investing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snfwuxazdyajuus3anxh" Type="http://schemas.openxmlformats.org/officeDocument/2006/relationships/hyperlink" Target="https://strategysharesetfs.com/mply/" TargetMode="External"/><Relationship Id="rIdvtzrhk82f1dbsamwulg3k" Type="http://schemas.openxmlformats.org/officeDocument/2006/relationships/hyperlink" Target="https://strategysharesetfs.com/mply/" TargetMode="External"/><Relationship Id="rId7" Type="http://schemas.openxmlformats.org/officeDocument/2006/relationships/image" Target="media/8ccd308b6788f06bd7d03d5811d8749686a15f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2026-09-23T11:16:32.336Z</dcterms:created>
  <dcterms:modified xsi:type="dcterms:W3CDTF">2026-09-23T11:16:32.336Z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