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Georgia" w:cs="Georgia" w:eastAsia="Georgia" w:hAnsi="Georgia"/>
          <w:b/>
          <w:bCs/>
          <w:sz w:val="32"/>
          <w:szCs w:val="32"/>
        </w:rPr>
        <w:t xml:space="preserve">What Makes a Company a Market Leader</w:t>
      </w:r>
    </w:p>
    <w:p>
      <w:pPr>
        <w:spacing w:after="200"/>
      </w:pPr>
      <w:r>
        <w:rPr>
          <w:rFonts w:ascii="Georgia" w:cs="Georgia" w:eastAsia="Georgia" w:hAnsi="Georgia"/>
          <w:sz w:val="23"/>
          <w:szCs w:val="23"/>
        </w:rPr>
        <w:t xml:space="preserve">Market leadership gets treated as synonymous with market share, but the two aren't always the same thing. A company can be the category-defining leader in customers' minds, and among analysts and competitors, without holding the largest raw share of the overall market. Understanding the difference matters, because the mechanism protecting a perception-based leader is different from the mechanism protecting a share-based one.</w:t>
      </w:r>
    </w:p>
    <w:p>
      <w:pPr>
        <w:pStyle w:val="Heading2"/>
        <w:spacing w:after="140" w:before="260"/>
      </w:pPr>
      <w:r>
        <w:rPr>
          <w:rFonts w:ascii="Georgia" w:cs="Georgia" w:eastAsia="Georgia" w:hAnsi="Georgia"/>
          <w:b/>
          <w:bCs/>
          <w:sz w:val="26"/>
          <w:szCs w:val="26"/>
        </w:rPr>
        <w:t xml:space="preserve">The Case: Whole Foods and Premium Grocery</w:t>
      </w:r>
    </w:p>
    <w:p>
      <w:pPr>
        <w:spacing w:after="200"/>
      </w:pPr>
      <w:r>
        <w:rPr>
          <w:rFonts w:ascii="Georgia" w:cs="Georgia" w:eastAsia="Georgia" w:hAnsi="Georgia"/>
          <w:sz w:val="23"/>
          <w:szCs w:val="23"/>
        </w:rPr>
        <w:t xml:space="preserve">Whole Foods never held anything close to the largest share of the overall U.S. grocery market, dominated by companies like Walmart and Kroger operating at a scale Whole Foods never matched. But for years, Whole Foods was widely regarded as the market leader in premium, natural, and organic grocery specifically, a narrower category it effectively defined for mainstream shoppers before larger competitors built out their own organic sections in response. That leadership position was built on brand association and category definition, not on total market share, and it was valuable enough that Amazon acquired the company in 2017.</w:t>
      </w:r>
    </w:p>
    <w:p>
      <w:pPr>
        <w:pStyle w:val="Heading2"/>
        <w:spacing w:after="140" w:before="260"/>
      </w:pPr>
      <w:r>
        <w:rPr>
          <w:rFonts w:ascii="Georgia" w:cs="Georgia" w:eastAsia="Georgia" w:hAnsi="Georgia"/>
          <w:b/>
          <w:bCs/>
          <w:sz w:val="26"/>
          <w:szCs w:val="26"/>
        </w:rPr>
        <w:t xml:space="preserve">What Actually Creates This Kind of Leadership</w:t>
      </w:r>
    </w:p>
    <w:p>
      <w:pPr>
        <w:spacing w:after="200"/>
      </w:pPr>
      <w:r>
        <w:rPr>
          <w:rFonts w:ascii="Georgia" w:cs="Georgia" w:eastAsia="Georgia" w:hAnsi="Georgia"/>
          <w:sz w:val="23"/>
          <w:szCs w:val="23"/>
        </w:rPr>
        <w:t xml:space="preserve">Category-defining leadership tends to come from being the reference point competitors get compared to, rather than the largest player by volume. Being first to build credibility in a specific niche, maintaining consistent positioning long enough that customers and media default to mentioning the company when the category comes up, and shaping the standards competitors eventually adopt are all part of the mechanism. It's a form of brand and mindshare advantage more than a scale advantage.</w:t>
      </w:r>
    </w:p>
    <w:p>
      <w:pPr>
        <w:pStyle w:val="Heading2"/>
        <w:spacing w:after="140" w:before="260"/>
      </w:pPr>
      <w:r>
        <w:rPr>
          <w:rFonts w:ascii="Georgia" w:cs="Georgia" w:eastAsia="Georgia" w:hAnsi="Georgia"/>
          <w:b/>
          <w:bCs/>
          <w:sz w:val="26"/>
          <w:szCs w:val="26"/>
        </w:rPr>
        <w:t xml:space="preserve">Why This Distinction Matters for Durability</w:t>
      </w:r>
    </w:p>
    <w:p>
      <w:pPr>
        <w:spacing w:after="200"/>
      </w:pPr>
      <w:r>
        <w:rPr>
          <w:rFonts w:ascii="Georgia" w:cs="Georgia" w:eastAsia="Georgia" w:hAnsi="Georgia"/>
          <w:sz w:val="23"/>
          <w:szCs w:val="23"/>
        </w:rPr>
        <w:t xml:space="preserve">A share-based leader's position is threatened primarily by a competitor matching its scale and cost structure. A perception-based leader's position is threatened differently, by a competitor that redefines the category itself, or by the leader's own positioning becoming diluted as larger competitors adopt its playbook. Whole Foods' premium-organic leadership narrowed over time precisely because mainstream grocers absorbed the category it had defined, offering organic and natural options within stores that already had Whole Foods' scale disadvantage covered.</w:t>
      </w:r>
    </w:p>
    <w:p>
      <w:pPr>
        <w:pStyle w:val="Heading2"/>
        <w:spacing w:after="140" w:before="260"/>
      </w:pPr>
      <w:r>
        <w:rPr>
          <w:rFonts w:ascii="Georgia" w:cs="Georgia" w:eastAsia="Georgia" w:hAnsi="Georgia"/>
          <w:b/>
          <w:bCs/>
          <w:sz w:val="26"/>
          <w:szCs w:val="26"/>
        </w:rPr>
        <w:t xml:space="preserve">How MPLY's Screen Relates to This Kind of Leadership</w:t>
      </w:r>
    </w:p>
    <w:p>
      <w:pPr>
        <w:spacing w:after="200"/>
      </w:pPr>
      <w:r>
        <w:rPr>
          <w:rFonts w:ascii="Georgia" w:cs="Georgia" w:eastAsia="Georgia" w:hAnsi="Georgia"/>
          <w:sz w:val="23"/>
          <w:szCs w:val="23"/>
        </w:rPr>
        <w:t xml:space="preserve">The Strategy Shares Monopoly ETF's (</w:t>
      </w:r>
      <w:r>
        <w:rPr>
          <w:rFonts w:ascii="Georgia" w:cs="Georgia" w:eastAsia="Georgia" w:hAnsi="Georgia"/>
          <w:b/>
          <w:bCs/>
          <w:sz w:val="23"/>
          <w:szCs w:val="23"/>
        </w:rPr>
        <w:t xml:space="preserve">MPLY</w:t>
      </w:r>
      <w:r>
        <w:rPr>
          <w:rFonts w:ascii="Georgia" w:cs="Georgia" w:eastAsia="Georgia" w:hAnsi="Georgia"/>
          <w:sz w:val="23"/>
          <w:szCs w:val="23"/>
        </w:rPr>
        <w:t xml:space="preserve">) stated criteria name brand dominance and industry concentration as separate, specific characteristics, which is consistent with the distinction this article draws: brand-based leadership and share-based dominance are related but not interchangeable signals, and the fund's process has to weigh which kind of leadership a given company actually holds, and whether it's the more durable, structural kind or the more contestable, perception-based kind.</w:t>
      </w:r>
    </w:p>
    <w:p>
      <w:pPr>
        <w:spacing w:after="200"/>
      </w:pPr>
      <w:r>
        <w:rPr>
          <w:rFonts w:ascii="Georgia" w:cs="Georgia" w:eastAsia="Georgia" w:hAnsi="Georgia"/>
          <w:sz w:val="23"/>
          <w:szCs w:val="23"/>
        </w:rPr>
        <w:t xml:space="preserve">MPLY's </w:t>
      </w:r>
      <w:hyperlink w:history="1" r:id="rIdl7nin59_zygz6jvs6uze9">
        <w:r>
          <w:rPr>
            <w:rFonts w:ascii="Georgia" w:cs="Georgia" w:eastAsia="Georgia" w:hAnsi="Georgia"/>
            <w:color w:val="1155CC"/>
            <w:sz w:val="23"/>
            <w:szCs w:val="23"/>
            <w:u w:val="single"/>
          </w:rPr>
          <w:t xml:space="preserve">official page</w:t>
        </w:r>
      </w:hyperlink>
      <w:r>
        <w:rPr>
          <w:rFonts w:ascii="Georgia" w:cs="Georgia" w:eastAsia="Georgia" w:hAnsi="Georgia"/>
          <w:sz w:val="23"/>
          <w:szCs w:val="23"/>
        </w:rPr>
        <w:t xml:space="preserve"> shows how the fund weighs brand leadership against its other criteria.</w:t>
      </w:r>
    </w:p>
    <w:p>
      <w:pPr>
        <w:pStyle w:val="Heading2"/>
        <w:spacing w:after="140" w:before="260"/>
      </w:pPr>
      <w:r>
        <w:rPr>
          <w:rFonts w:ascii="Georgia" w:cs="Georgia" w:eastAsia="Georgia" w:hAnsi="Georgia"/>
          <w:b/>
          <w:bCs/>
          <w:sz w:val="26"/>
          <w:szCs w:val="26"/>
        </w:rPr>
        <w:t xml:space="preserve">Sources</w:t>
      </w:r>
    </w:p>
    <w:p>
      <w:pPr>
        <w:pStyle w:val="ListParagraph"/>
        <w:numPr>
          <w:ilvl w:val="0"/>
          <w:numId w:val="1"/>
        </w:numPr>
        <w:spacing w:after="100"/>
      </w:pPr>
      <w:hyperlink w:history="1" r:id="rId13itbimihhjgq2hkuk8ql">
        <w:r>
          <w:rPr>
            <w:rFonts w:ascii="Georgia" w:cs="Georgia" w:eastAsia="Georgia" w:hAnsi="Georgia"/>
            <w:color w:val="1155CC"/>
            <w:sz w:val="23"/>
            <w:szCs w:val="23"/>
            <w:u w:val="single"/>
          </w:rPr>
          <w:t xml:space="preserve">Strategy Shares Monopoly ETF official fund page (screening criteria)</w:t>
        </w:r>
      </w:hyperlink>
    </w:p>
    <w:p>
      <w:pPr>
        <w:spacing w:after="0" w:before="280"/>
      </w:pPr>
      <w:r>
        <w:rPr>
          <w:rFonts w:ascii="Georgia" w:cs="Georgia" w:eastAsia="Georgia" w:hAnsi="Georgia"/>
          <w:color w:val="1F4E78"/>
          <w:sz w:val="22"/>
          <w:szCs w:val="22"/>
        </w:rPr>
        <w:t xml:space="preserve">#MarketLeader #CompetitiveAdvantage #BrandStrategy #MPLY #Investing #Fundamentals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7nin59_zygz6jvs6uze9" Type="http://schemas.openxmlformats.org/officeDocument/2006/relationships/hyperlink" Target="https://strategysharesetfs.com/mply/" TargetMode="External"/><Relationship Id="rId13itbimihhjgq2hkuk8ql" Type="http://schemas.openxmlformats.org/officeDocument/2006/relationships/hyperlink" Target="https://strategysharesetfs.com/mply/"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2026-09-23T11:16:32.406Z</dcterms:created>
  <dcterms:modified xsi:type="dcterms:W3CDTF">2026-09-23T11:16:32.406Z</dcterms:modified>
</cp:coreProperties>
</file>

<file path=docProps/custom.xml><?xml version="1.0" encoding="utf-8"?>
<Properties xmlns="http://schemas.openxmlformats.org/officeDocument/2006/custom-properties" xmlns:vt="http://schemas.openxmlformats.org/officeDocument/2006/docPropsVTypes"/>
</file>