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0"/>
      </w:pPr>
      <w:r>
        <w:rPr>
          <w:rFonts w:ascii="Georgia" w:cs="Georgia" w:eastAsia="Georgia" w:hAnsi="Georgia"/>
          <w:b/>
          <w:bCs/>
          <w:sz w:val="32"/>
          <w:szCs w:val="32"/>
        </w:rPr>
        <w:t xml:space="preserve">Sustainable Competitive Advantage Examples</w:t>
      </w:r>
    </w:p>
    <w:p>
      <w:pPr>
        <w:spacing w:after="200"/>
      </w:pPr>
      <w:r>
        <w:rPr>
          <w:rFonts w:ascii="Georgia" w:cs="Georgia" w:eastAsia="Georgia" w:hAnsi="Georgia"/>
          <w:sz w:val="23"/>
          <w:szCs w:val="23"/>
        </w:rPr>
        <w:t xml:space="preserve">A sustainable advantage looks different depending on where in the economy it shows up, a logistics network, a market infrastructure provider, and a technology platform protect their positions through entirely different mechanisms. These three examples span that range on purpose, each illustrating a different source of durability.</w:t>
      </w:r>
    </w:p>
    <w:p>
      <w:pPr>
        <w:pStyle w:val="Heading2"/>
        <w:spacing w:after="140" w:before="260"/>
      </w:pPr>
      <w:r>
        <w:rPr>
          <w:rFonts w:ascii="Georgia" w:cs="Georgia" w:eastAsia="Georgia" w:hAnsi="Georgia"/>
          <w:b/>
          <w:bCs/>
          <w:sz w:val="26"/>
          <w:szCs w:val="26"/>
        </w:rPr>
        <w:t xml:space="preserve">UPS: Distribution Density as a Sustainable Advantage</w:t>
      </w:r>
    </w:p>
    <w:p>
      <w:pPr>
        <w:spacing w:after="200"/>
      </w:pPr>
      <w:r>
        <w:rPr>
          <w:rFonts w:ascii="Georgia" w:cs="Georgia" w:eastAsia="Georgia" w:hAnsi="Georgia"/>
          <w:sz w:val="23"/>
          <w:szCs w:val="23"/>
        </w:rPr>
        <w:t xml:space="preserve">UPS built out a delivery network dense enough, over more than a century, that adding meaningful new capacity to match it would require years of infrastructure investment from any challenger. The advantage isn't any single warehouse or route; it's the accumulated density of the whole network, which lets UPS offer delivery economics a smaller or newer competitor structurally cannot match on comparable routes without first replicating decades of built-out infrastructure.</w:t>
      </w:r>
    </w:p>
    <w:p>
      <w:pPr>
        <w:pStyle w:val="Heading2"/>
        <w:spacing w:after="140" w:before="260"/>
      </w:pPr>
      <w:r>
        <w:rPr>
          <w:rFonts w:ascii="Georgia" w:cs="Georgia" w:eastAsia="Georgia" w:hAnsi="Georgia"/>
          <w:b/>
          <w:bCs/>
          <w:sz w:val="26"/>
          <w:szCs w:val="26"/>
        </w:rPr>
        <w:t xml:space="preserve">NYSE and Nasdaq: Network Effects in Market Infrastructure</w:t>
      </w:r>
    </w:p>
    <w:p>
      <w:pPr>
        <w:spacing w:after="200"/>
      </w:pPr>
      <w:r>
        <w:rPr>
          <w:rFonts w:ascii="Georgia" w:cs="Georgia" w:eastAsia="Georgia" w:hAnsi="Georgia"/>
          <w:sz w:val="23"/>
          <w:szCs w:val="23"/>
        </w:rPr>
        <w:t xml:space="preserve">Stock exchanges are a two-sided network effect running at national scale: more listed companies make an exchange more attractive to investors and traders, and more trading liquidity makes an exchange more attractive to companies deciding where to list. That loop, reinforced by regulatory relationships and decades of accumulated trust from issuers and investors, is a major reason the New York Stock Exchange and Nasdaq have remained the dominant U.S. equity listing venues for so long, despite periodic challenges from newer, lower-cost trading platforms that could offer competitive execution but never built the same depth of listed-company relationships.</w:t>
      </w:r>
    </w:p>
    <w:p>
      <w:pPr>
        <w:pStyle w:val="Heading2"/>
        <w:spacing w:after="140" w:before="260"/>
      </w:pPr>
      <w:r>
        <w:rPr>
          <w:rFonts w:ascii="Georgia" w:cs="Georgia" w:eastAsia="Georgia" w:hAnsi="Georgia"/>
          <w:b/>
          <w:bCs/>
          <w:sz w:val="26"/>
          <w:szCs w:val="26"/>
        </w:rPr>
        <w:t xml:space="preserve">Intel: An Architecture Advantage That Later Weakened</w:t>
      </w:r>
    </w:p>
    <w:p>
      <w:pPr>
        <w:spacing w:after="200"/>
      </w:pPr>
      <w:r>
        <w:rPr>
          <w:rFonts w:ascii="Georgia" w:cs="Georgia" w:eastAsia="Georgia" w:hAnsi="Georgia"/>
          <w:sz w:val="23"/>
          <w:szCs w:val="23"/>
        </w:rPr>
        <w:t xml:space="preserve">For decades, Intel's x86 processor architecture became the default standard for personal computers, creating a software and hardware ecosystem built specifically around its instruction set. That ecosystem lock-in was a genuine, sustainable advantage for a long stretch, competing chip architectures faced the challenge of an entire software industry built around Intel's standard. It's included here deliberately as a partial counterexample too: Intel's advantage weakened over time as mobile computing shifted volume toward ARM-based architecture, a reminder that even a decades-long sustainable advantage isn't guaranteed to remain sustainable once the underlying market it was built for changes shape.</w:t>
      </w:r>
    </w:p>
    <w:p>
      <w:pPr>
        <w:pStyle w:val="Heading2"/>
        <w:spacing w:after="140" w:before="260"/>
      </w:pPr>
      <w:r>
        <w:rPr>
          <w:rFonts w:ascii="Georgia" w:cs="Georgia" w:eastAsia="Georgia" w:hAnsi="Georgia"/>
          <w:b/>
          <w:bCs/>
          <w:sz w:val="26"/>
          <w:szCs w:val="26"/>
        </w:rPr>
        <w:t xml:space="preserve">What These Three Examples Illustrate Together</w:t>
      </w:r>
    </w:p>
    <w:p>
      <w:pPr>
        <w:spacing w:after="200"/>
      </w:pPr>
      <w:r>
        <w:rPr>
          <w:rFonts w:ascii="Georgia" w:cs="Georgia" w:eastAsia="Georgia" w:hAnsi="Georgia"/>
          <w:sz w:val="23"/>
          <w:szCs w:val="23"/>
        </w:rPr>
        <w:t xml:space="preserve">Distribution density, network effects, and architecture standards are three genuinely different mechanisms, but each one shares the same underlying test: would a well-funded competitor need years, not months, to build an equivalent position, and does the incumbent's advantage keep compounding in the meantime? UPS and the exchanges pass that test today. Intel's case shows the same mechanism can pass the test for decades and still eventually face a real challenge once the market itself shifts.</w:t>
      </w:r>
    </w:p>
    <w:p>
      <w:pPr>
        <w:pStyle w:val="Heading2"/>
        <w:spacing w:after="140" w:before="260"/>
      </w:pPr>
      <w:r>
        <w:rPr>
          <w:rFonts w:ascii="Georgia" w:cs="Georgia" w:eastAsia="Georgia" w:hAnsi="Georgia"/>
          <w:b/>
          <w:bCs/>
          <w:sz w:val="26"/>
          <w:szCs w:val="26"/>
        </w:rPr>
        <w:t xml:space="preserve">How These Examples Relate to MPLY's Screening Criteria</w:t>
      </w:r>
    </w:p>
    <w:p>
      <w:pPr>
        <w:spacing w:after="200"/>
      </w:pPr>
      <w:r>
        <w:rPr>
          <w:rFonts w:ascii="Georgia" w:cs="Georgia" w:eastAsia="Georgia" w:hAnsi="Georgia"/>
          <w:sz w:val="23"/>
          <w:szCs w:val="23"/>
        </w:rPr>
        <w:t xml:space="preserve">UPS illustrates control of the supply chain and efficient scale; NYSE and Nasdaq illustrate network effects and industry concentration; Intel illustrates both barriers to entry at its peak and the risk that even strong barriers face over a long enough horizon, all characteristics named in the Strategy Shares Monopoly ETF's (</w:t>
      </w:r>
      <w:r>
        <w:rPr>
          <w:rFonts w:ascii="Georgia" w:cs="Georgia" w:eastAsia="Georgia" w:hAnsi="Georgia"/>
          <w:b/>
          <w:bCs/>
          <w:sz w:val="23"/>
          <w:szCs w:val="23"/>
        </w:rPr>
        <w:t xml:space="preserve">MPLY</w:t>
      </w:r>
      <w:r>
        <w:rPr>
          <w:rFonts w:ascii="Georgia" w:cs="Georgia" w:eastAsia="Georgia" w:hAnsi="Georgia"/>
          <w:sz w:val="23"/>
          <w:szCs w:val="23"/>
        </w:rPr>
        <w:t xml:space="preserve">) stated screening criteria.</w:t>
      </w:r>
    </w:p>
    <w:p>
      <w:pPr>
        <w:spacing w:after="200"/>
      </w:pPr>
      <w:r>
        <w:rPr>
          <w:rFonts w:ascii="Georgia" w:cs="Georgia" w:eastAsia="Georgia" w:hAnsi="Georgia"/>
          <w:sz w:val="23"/>
          <w:szCs w:val="23"/>
        </w:rPr>
        <w:t xml:space="preserve">MPLY's current holdings and investment approach are on its </w:t>
      </w:r>
      <w:hyperlink w:history="1" r:id="rIdwzkxxxmvcf2nl-z5spmti">
        <w:r>
          <w:rPr>
            <w:rFonts w:ascii="Georgia" w:cs="Georgia" w:eastAsia="Georgia" w:hAnsi="Georgia"/>
            <w:color w:val="1155CC"/>
            <w:sz w:val="23"/>
            <w:szCs w:val="23"/>
            <w:u w:val="single"/>
          </w:rPr>
          <w:t xml:space="preserve">official page</w:t>
        </w:r>
      </w:hyperlink>
      <w:r>
        <w:rPr>
          <w:rFonts w:ascii="Georgia" w:cs="Georgia" w:eastAsia="Georgia" w:hAnsi="Georgia"/>
          <w:sz w:val="23"/>
          <w:szCs w:val="23"/>
        </w:rPr>
        <w:t xml:space="preserve">.</w:t>
      </w:r>
    </w:p>
    <w:p>
      <w:pPr>
        <w:pStyle w:val="Heading2"/>
        <w:spacing w:after="140" w:before="260"/>
      </w:pPr>
      <w:r>
        <w:rPr>
          <w:rFonts w:ascii="Georgia" w:cs="Georgia" w:eastAsia="Georgia" w:hAnsi="Georgia"/>
          <w:b/>
          <w:bCs/>
          <w:sz w:val="26"/>
          <w:szCs w:val="26"/>
        </w:rPr>
        <w:t xml:space="preserve">Sources</w:t>
      </w:r>
    </w:p>
    <w:p>
      <w:pPr>
        <w:pStyle w:val="ListParagraph"/>
        <w:numPr>
          <w:ilvl w:val="0"/>
          <w:numId w:val="1"/>
        </w:numPr>
        <w:spacing w:after="100"/>
      </w:pPr>
      <w:hyperlink w:history="1" r:id="rIdjasvzo76chxjjck0lxlef">
        <w:r>
          <w:rPr>
            <w:rFonts w:ascii="Georgia" w:cs="Georgia" w:eastAsia="Georgia" w:hAnsi="Georgia"/>
            <w:color w:val="1155CC"/>
            <w:sz w:val="23"/>
            <w:szCs w:val="23"/>
            <w:u w:val="single"/>
          </w:rPr>
          <w:t xml:space="preserve">Strategy Shares Monopoly ETF official fund page (screening criteria)</w:t>
        </w:r>
      </w:hyperlink>
    </w:p>
    <w:p>
      <w:pPr>
        <w:spacing w:after="0" w:before="280"/>
      </w:pPr>
      <w:r>
        <w:rPr>
          <w:rFonts w:ascii="Georgia" w:cs="Georgia" w:eastAsia="Georgia" w:hAnsi="Georgia"/>
          <w:color w:val="1F4E78"/>
          <w:sz w:val="22"/>
          <w:szCs w:val="22"/>
        </w:rPr>
        <w:t xml:space="preserve">#CompetitiveAdvantage #EconomicMoat #NetworkEffects #DistributionMoat #MPLY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zkxxxmvcf2nl-z5spmti" Type="http://schemas.openxmlformats.org/officeDocument/2006/relationships/hyperlink" Target="https://strategysharesetfs.com/mply/" TargetMode="External"/><Relationship Id="rIdjasvzo76chxjjck0lxlef" Type="http://schemas.openxmlformats.org/officeDocument/2006/relationships/hyperlink" Target="https://strategysharesetfs.com/mply/"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2026-09-23T11:16:32.448Z</dcterms:created>
  <dcterms:modified xsi:type="dcterms:W3CDTF">2026-09-23T11:16:32.448Z</dcterms:modified>
</cp:coreProperties>
</file>

<file path=docProps/custom.xml><?xml version="1.0" encoding="utf-8"?>
<Properties xmlns="http://schemas.openxmlformats.org/officeDocument/2006/custom-properties" xmlns:vt="http://schemas.openxmlformats.org/officeDocument/2006/docPropsVTypes"/>
</file>