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0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Competitive Advantage vs Competitive Edge</w:t>
      </w:r>
    </w:p>
    <w:p>
      <w:pPr>
        <w:spacing w:after="200"/>
      </w:pPr>
      <w:r>
        <w:rPr>
          <w:rFonts w:ascii="Georgia" w:cs="Georgia" w:eastAsia="Georgia" w:hAnsi="Georgia"/>
          <w:sz w:val="23"/>
          <w:szCs w:val="23"/>
        </w:rPr>
        <w:t xml:space="preserve">"Competitive advantage" and "competitive edge" get used as if they're the same thing, and in casual conversation they often are. In more careful research usage, the distinction is useful: an edge is a current, often temporary lead; an advantage implies something more structural and durable. Treating the two as interchangeable can lead to mistaking a fleeting lead for a lasting one.</w:t>
      </w:r>
    </w:p>
    <w:p>
      <w:pPr>
        <w:pStyle w:val="Heading2"/>
        <w:spacing w:after="140" w:before="260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What a Competitive Edge Looks Like</w:t>
      </w:r>
    </w:p>
    <w:p>
      <w:pPr>
        <w:spacing w:after="200"/>
      </w:pPr>
      <w:r>
        <w:rPr>
          <w:rFonts w:ascii="Georgia" w:cs="Georgia" w:eastAsia="Georgia" w:hAnsi="Georgia"/>
          <w:sz w:val="23"/>
          <w:szCs w:val="23"/>
        </w:rPr>
        <w:t xml:space="preserve">An edge tends to come from something specific and time-bound: a superior product feature that hasn't been copied yet, a marketing campaign that's currently outperforming competitors, a temporary cost advantage from a favorable input-price environment, or simply better execution in the current period. An edge can produce real, measurable outperformance while it lasts, and can genuinely matter to a company's results in the near term.</w:t>
      </w:r>
    </w:p>
    <w:p>
      <w:pPr>
        <w:pStyle w:val="Heading2"/>
        <w:spacing w:after="140" w:before="260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What a Competitive Advantage Looks Like</w:t>
      </w:r>
    </w:p>
    <w:p>
      <w:pPr>
        <w:spacing w:after="200"/>
      </w:pPr>
      <w:r>
        <w:rPr>
          <w:rFonts w:ascii="Georgia" w:cs="Georgia" w:eastAsia="Georgia" w:hAnsi="Georgia"/>
          <w:sz w:val="23"/>
          <w:szCs w:val="23"/>
        </w:rPr>
        <w:t xml:space="preserve">An advantage, in the more careful sense, is structural: it comes from something a competitor can't quickly replicate regardless of effort or spending, a network effect, a regulatory barrier, an accumulated switching cost, or a brand built over decades. The distinguishing test is whether the lead would survive a competitor matching the current tactic. A feature-based edge usually doesn't survive being copied; a structural advantage does, because the thing protecting it isn't the feature itself.</w:t>
      </w:r>
    </w:p>
    <w:p>
      <w:pPr>
        <w:pStyle w:val="Heading2"/>
        <w:spacing w:after="140" w:before="260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Why the Distinction Matters in Practice</w:t>
      </w:r>
    </w:p>
    <w:p>
      <w:pPr>
        <w:spacing w:after="200"/>
      </w:pPr>
      <w:r>
        <w:rPr>
          <w:rFonts w:ascii="Georgia" w:cs="Georgia" w:eastAsia="Georgia" w:hAnsi="Georgia"/>
          <w:sz w:val="23"/>
          <w:szCs w:val="23"/>
        </w:rPr>
        <w:t xml:space="preserve">A company riding a temporary edge can look, for a quarter or two, exactly like a company with a durable advantage: both show outperformance relative to competitors. The difference shows up once a competitor responds. If the outperformance narrows quickly once a rival matches the tactic, that was an edge. If the outperformance persists even after competitors try to close the gap, that's closer to a genuine advantage. Distinguishing between the two before a competitor response happens, rather than waiting to find out after the fact, is the harder and more useful version of this analysis.</w:t>
      </w:r>
    </w:p>
    <w:p>
      <w:pPr>
        <w:pStyle w:val="Heading2"/>
        <w:spacing w:after="140" w:before="260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A Practical Test</w:t>
      </w:r>
    </w:p>
    <w:p>
      <w:pPr>
        <w:spacing w:after="200"/>
      </w:pPr>
      <w:r>
        <w:rPr>
          <w:rFonts w:ascii="Georgia" w:cs="Georgia" w:eastAsia="Georgia" w:hAnsi="Georgia"/>
          <w:sz w:val="23"/>
          <w:szCs w:val="23"/>
        </w:rPr>
        <w:t xml:space="preserve">Ask what would happen if a well-funded competitor spent freely to copy the specific thing driving the outperformance. If copying it closes most of the gap, it was an edge. If a competitor could spend unlimited money and still not close the gap within a few years, because the advantage isn't something money alone can buy quickly, brand trust built over decades, an entrenched network effect, a regulatory position, it's a genuine advantage.</w:t>
      </w:r>
    </w:p>
    <w:p>
      <w:pPr>
        <w:pStyle w:val="Heading2"/>
        <w:spacing w:after="140" w:before="260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Where MPLY's Screen Applies This Distinction</w:t>
      </w:r>
    </w:p>
    <w:p>
      <w:pPr>
        <w:spacing w:after="200"/>
      </w:pPr>
      <w:r>
        <w:rPr>
          <w:rFonts w:ascii="Georgia" w:cs="Georgia" w:eastAsia="Georgia" w:hAnsi="Georgia"/>
          <w:sz w:val="23"/>
          <w:szCs w:val="23"/>
        </w:rPr>
        <w:t xml:space="preserve">The Strategy Shares Monopoly ETF's (</w:t>
      </w:r>
      <w:r>
        <w:rPr>
          <w:rFonts w:ascii="Georgia" w:cs="Georgia" w:eastAsia="Georgia" w:hAnsi="Georgia"/>
          <w:b/>
          <w:bCs/>
          <w:sz w:val="23"/>
          <w:szCs w:val="23"/>
        </w:rPr>
        <w:t xml:space="preserve">MPLY</w:t>
      </w:r>
      <w:r>
        <w:rPr>
          <w:rFonts w:ascii="Georgia" w:cs="Georgia" w:eastAsia="Georgia" w:hAnsi="Georgia"/>
          <w:sz w:val="23"/>
          <w:szCs w:val="23"/>
        </w:rPr>
        <w:t xml:space="preserve">) stated criteria are built around structural, hard-to-replicate characteristics, brand dominance, regulatory exclusivity, network effects, barriers to entry, rather than current-period outperformance. That's consistent with the edge-versus-advantage distinction here: the fund's process is trying to screen out companies riding a temporary edge and identify the ones with something more durable underneath it.</w:t>
      </w:r>
    </w:p>
    <w:p>
      <w:pPr>
        <w:spacing w:after="200"/>
      </w:pPr>
      <w:r>
        <w:rPr>
          <w:rFonts w:ascii="Georgia" w:cs="Georgia" w:eastAsia="Georgia" w:hAnsi="Georgia"/>
          <w:sz w:val="23"/>
          <w:szCs w:val="23"/>
        </w:rPr>
        <w:t xml:space="preserve">The fund's </w:t>
      </w:r>
      <w:hyperlink w:history="1" r:id="rIdupx1gsg5t1gvxqnhcm6cl">
        <w:r>
          <w:rPr>
            <w:rFonts w:ascii="Georgia" w:cs="Georgia" w:eastAsia="Georgia" w:hAnsi="Georgia"/>
            <w:color w:val="1155CC"/>
            <w:sz w:val="23"/>
            <w:szCs w:val="23"/>
            <w:u w:val="single"/>
          </w:rPr>
          <w:t xml:space="preserve">official page</w:t>
        </w:r>
      </w:hyperlink>
      <w:r>
        <w:rPr>
          <w:rFonts w:ascii="Georgia" w:cs="Georgia" w:eastAsia="Georgia" w:hAnsi="Georgia"/>
          <w:sz w:val="23"/>
          <w:szCs w:val="23"/>
        </w:rPr>
        <w:t xml:space="preserve"> describes its full investment approach.</w:t>
      </w:r>
    </w:p>
    <w:p>
      <w:pPr>
        <w:pStyle w:val="Heading2"/>
        <w:spacing w:after="140" w:before="260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Sources</w:t>
      </w:r>
    </w:p>
    <w:p>
      <w:pPr>
        <w:pStyle w:val="ListParagraph"/>
        <w:numPr>
          <w:ilvl w:val="0"/>
          <w:numId w:val="1"/>
        </w:numPr>
        <w:spacing w:after="100"/>
      </w:pPr>
      <w:hyperlink w:history="1" r:id="rIdxhosc8llyx9j9zsf0x1ch">
        <w:r>
          <w:rPr>
            <w:rFonts w:ascii="Georgia" w:cs="Georgia" w:eastAsia="Georgia" w:hAnsi="Georgia"/>
            <w:color w:val="1155CC"/>
            <w:sz w:val="23"/>
            <w:szCs w:val="23"/>
            <w:u w:val="single"/>
          </w:rPr>
          <w:t xml:space="preserve">Strategy Shares Monopoly ETF official fund page (screening criteria)</w:t>
        </w:r>
      </w:hyperlink>
    </w:p>
    <w:p>
      <w:pPr>
        <w:spacing w:after="0" w:before="280"/>
      </w:pPr>
      <w:r>
        <w:rPr>
          <w:rFonts w:ascii="Georgia" w:cs="Georgia" w:eastAsia="Georgia" w:hAnsi="Georgia"/>
          <w:color w:val="1F4E78"/>
          <w:sz w:val="22"/>
          <w:szCs w:val="22"/>
        </w:rPr>
        <w:t xml:space="preserve">#CompetitiveAdvantage #CompetitiveEdge #BusinessStrategy #MPLY #Investing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px1gsg5t1gvxqnhcm6cl" Type="http://schemas.openxmlformats.org/officeDocument/2006/relationships/hyperlink" Target="https://strategysharesetfs.com/mply/" TargetMode="External"/><Relationship Id="rIdxhosc8llyx9j9zsf0x1ch" Type="http://schemas.openxmlformats.org/officeDocument/2006/relationships/hyperlink" Target="https://strategysharesetfs.com/mply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2026-09-23T11:16:32.457Z</dcterms:created>
  <dcterms:modified xsi:type="dcterms:W3CDTF">2026-09-23T11:16:32.457Z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