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First Mover Advantage</w:t>
      </w:r>
    </w:p>
    <w:p>
      <w:pPr>
        <w:spacing w:after="200"/>
      </w:pPr>
      <w:r>
        <w:rPr>
          <w:rFonts w:ascii="Georgia" w:cs="Georgia" w:eastAsia="Georgia" w:hAnsi="Georgia"/>
          <w:sz w:val="23"/>
          <w:szCs w:val="23"/>
        </w:rPr>
        <w:t xml:space="preserve">A first mover advantage is the edge a company gains by entering a new market before any competitor, capturing customers, brand recognition, and infrastructure while the category is still uncontested. It's the mirror image of the second mover advantage: sometimes the pioneer keeps its lead for decades, and sometimes a later, better-executed entrant takes it away. What determines which outcome happens is whether the early lead gets reinforced by something structural.</w:t>
      </w:r>
    </w:p>
    <w:p>
      <w:pPr>
        <w:pStyle w:val="Heading2"/>
        <w:spacing w:after="140" w:before="260"/>
      </w:pPr>
      <w:r>
        <w:rPr>
          <w:rFonts w:ascii="Georgia" w:cs="Georgia" w:eastAsia="Georgia" w:hAnsi="Georgia"/>
          <w:b/>
          <w:bCs/>
          <w:sz w:val="26"/>
          <w:szCs w:val="26"/>
        </w:rPr>
        <w:t xml:space="preserve">The Mechanism: An Early Lead Has to Convert Into Something Durable</w:t>
      </w:r>
    </w:p>
    <w:p>
      <w:pPr>
        <w:spacing w:after="200"/>
      </w:pPr>
      <w:r>
        <w:rPr>
          <w:rFonts w:ascii="Georgia" w:cs="Georgia" w:eastAsia="Georgia" w:hAnsi="Georgia"/>
          <w:sz w:val="23"/>
          <w:szCs w:val="23"/>
        </w:rPr>
        <w:t xml:space="preserve">Being first provides real, temporary benefits: no established competitor to take share from, the chance to set customer expectations and industry standards, and time to build brand recognition before anyone else enters the category. None of that is automatically permanent. It only becomes a lasting advantage if it converts into something structural before a well-executed competitor arrives, a network effect from accumulated users, switching costs from customers building workflows around the product, or brand recognition strong enough to survive direct competition.</w:t>
      </w:r>
    </w:p>
    <w:p>
      <w:pPr>
        <w:pStyle w:val="Heading2"/>
        <w:spacing w:after="140" w:before="260"/>
      </w:pPr>
      <w:r>
        <w:rPr>
          <w:rFonts w:ascii="Georgia" w:cs="Georgia" w:eastAsia="Georgia" w:hAnsi="Georgia"/>
          <w:b/>
          <w:bCs/>
          <w:sz w:val="26"/>
          <w:szCs w:val="26"/>
        </w:rPr>
        <w:t xml:space="preserve">When It Works: eBay and Craigslist</w:t>
      </w:r>
    </w:p>
    <w:p>
      <w:pPr>
        <w:spacing w:after="200"/>
      </w:pPr>
      <w:r>
        <w:rPr>
          <w:rFonts w:ascii="Georgia" w:cs="Georgia" w:eastAsia="Georgia" w:hAnsi="Georgia"/>
          <w:sz w:val="23"/>
          <w:szCs w:val="23"/>
        </w:rPr>
        <w:t xml:space="preserve">eBay, founded by Pierre Omidyar in September 1995, built an early, dominant position in online auctions and person-to-person e-commerce that converted into a genuine network effect: more buyers made the platform more attractive to sellers, and more sellers made it more attractive to buyers, becoming one of the largest e-commerce companies in the world by the early 2000s and remaining a major online marketplace since. Craigslist, also founded in 1995, built a similarly durable position in online classifieds that has persisted for three decades, remaining one of the most-visited English-language websites despite offering a famously basic, largely unchanged interface the entire time, its advantage rooted in accumulated local-market density and brand habit rather than product polish.</w:t>
      </w:r>
    </w:p>
    <w:p>
      <w:pPr>
        <w:pStyle w:val="Heading2"/>
        <w:spacing w:after="140" w:before="260"/>
      </w:pPr>
      <w:r>
        <w:rPr>
          <w:rFonts w:ascii="Georgia" w:cs="Georgia" w:eastAsia="Georgia" w:hAnsi="Georgia"/>
          <w:b/>
          <w:bCs/>
          <w:sz w:val="26"/>
          <w:szCs w:val="26"/>
        </w:rPr>
        <w:t xml:space="preserve">When It Doesn't: A Reminder From the Second Mover Side</w:t>
      </w:r>
    </w:p>
    <w:p>
      <w:pPr>
        <w:spacing w:after="200"/>
      </w:pPr>
      <w:r>
        <w:rPr>
          <w:rFonts w:ascii="Georgia" w:cs="Georgia" w:eastAsia="Georgia" w:hAnsi="Georgia"/>
          <w:sz w:val="23"/>
          <w:szCs w:val="23"/>
        </w:rPr>
        <w:t xml:space="preserve">Not every first mover holds its lead. AltaVista launched years before Google and still lost search to a competitor with a fundamentally better product. Myspace and Friendster both had real early leads in social networking and lost them to later entrants with stronger execution. The difference between these cases and eBay's or Craigslist's isn't when each company entered the market, it's whether the early lead got reinforced by a real structural advantage before a better-executed competitor showed up to exploit any weakness.</w:t>
      </w:r>
    </w:p>
    <w:p>
      <w:pPr>
        <w:pStyle w:val="Heading2"/>
        <w:spacing w:after="140" w:before="260"/>
      </w:pPr>
      <w:r>
        <w:rPr>
          <w:rFonts w:ascii="Georgia" w:cs="Georgia" w:eastAsia="Georgia" w:hAnsi="Georgia"/>
          <w:b/>
          <w:bCs/>
          <w:sz w:val="26"/>
          <w:szCs w:val="26"/>
        </w:rPr>
        <w:t xml:space="preserve">The Practical Test</w:t>
      </w:r>
    </w:p>
    <w:p>
      <w:pPr>
        <w:spacing w:after="200"/>
      </w:pPr>
      <w:r>
        <w:rPr>
          <w:rFonts w:ascii="Georgia" w:cs="Georgia" w:eastAsia="Georgia" w:hAnsi="Georgia"/>
          <w:sz w:val="23"/>
          <w:szCs w:val="23"/>
        </w:rPr>
        <w:t xml:space="preserve">Being first is a temporary head start, not a moat by itself. The useful question for any first mover is the same one that applies to a second mover's challenge: has the early lead converted into a network effect, a switching cost, or brand strength that would survive a well-executed competitor's entry, or is it still just an early lead that hasn't been seriously tested yet?</w:t>
      </w:r>
    </w:p>
    <w:p>
      <w:pPr>
        <w:pStyle w:val="Heading2"/>
        <w:spacing w:after="140" w:before="260"/>
      </w:pPr>
      <w:r>
        <w:rPr>
          <w:rFonts w:ascii="Georgia" w:cs="Georgia" w:eastAsia="Georgia" w:hAnsi="Georgia"/>
          <w:b/>
          <w:bCs/>
          <w:sz w:val="26"/>
          <w:szCs w:val="26"/>
        </w:rPr>
        <w:t xml:space="preserve">Where MPLY's Screen Relates to First-Mover Status</w:t>
      </w:r>
    </w:p>
    <w:p>
      <w:pPr>
        <w:spacing w:after="200"/>
      </w:pPr>
      <w:r>
        <w:rPr>
          <w:rFonts w:ascii="Georgia" w:cs="Georgia" w:eastAsia="Georgia" w:hAnsi="Georgia"/>
          <w:sz w:val="23"/>
          <w:szCs w:val="23"/>
        </w:rPr>
        <w:t xml:space="preserve">Being first to market isn't named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consistent with the mechanism this article describes: what matters to the fund's process is whether a company's position has converted into durable characteristics, network effects, switching costs, brand dominance, not simply when it entered its market. A first mover that never converted its early lead into one of those structural advantages is a weaker fit for the fund's thesis than a later entrant that built one.</w:t>
      </w:r>
    </w:p>
    <w:p>
      <w:pPr>
        <w:spacing w:after="200"/>
      </w:pPr>
      <w:r>
        <w:rPr>
          <w:rFonts w:ascii="Georgia" w:cs="Georgia" w:eastAsia="Georgia" w:hAnsi="Georgia"/>
          <w:sz w:val="23"/>
          <w:szCs w:val="23"/>
        </w:rPr>
        <w:t xml:space="preserve">MPLY's </w:t>
      </w:r>
      <w:hyperlink w:history="1" r:id="rIdp0unneitnpcybnqzv3ofx">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shows its current holdings and investment approach.</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xickndr80oxx8sukvdi4t">
        <w:r>
          <w:rPr>
            <w:rFonts w:ascii="Georgia" w:cs="Georgia" w:eastAsia="Georgia" w:hAnsi="Georgia"/>
            <w:color w:val="1155CC"/>
            <w:sz w:val="23"/>
            <w:szCs w:val="23"/>
            <w:u w:val="single"/>
          </w:rPr>
          <w:t xml:space="preserve">Wikipedia, "eBay" (founding, early e-commerce dominance)</w:t>
        </w:r>
      </w:hyperlink>
    </w:p>
    <w:p>
      <w:pPr>
        <w:pStyle w:val="ListParagraph"/>
        <w:numPr>
          <w:ilvl w:val="0"/>
          <w:numId w:val="1"/>
        </w:numPr>
        <w:spacing w:after="100"/>
      </w:pPr>
      <w:hyperlink w:history="1" r:id="rId380lvcmylszdsgduvwwka">
        <w:r>
          <w:rPr>
            <w:rFonts w:ascii="Georgia" w:cs="Georgia" w:eastAsia="Georgia" w:hAnsi="Georgia"/>
            <w:color w:val="1155CC"/>
            <w:sz w:val="23"/>
            <w:szCs w:val="23"/>
            <w:u w:val="single"/>
          </w:rPr>
          <w:t xml:space="preserve">Wikipedia, "Craigslist" (founding, sustained classifieds dominance)</w:t>
        </w:r>
      </w:hyperlink>
    </w:p>
    <w:p>
      <w:pPr>
        <w:pStyle w:val="ListParagraph"/>
        <w:numPr>
          <w:ilvl w:val="0"/>
          <w:numId w:val="1"/>
        </w:numPr>
        <w:spacing w:after="100"/>
      </w:pPr>
      <w:hyperlink w:history="1" r:id="rIddxbk1r5ahjqm1qfmwsvxp">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#FirstMoverAdvantage #CompetitiveAdvantage #NetworkEffects #BusinessStrategy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0unneitnpcybnqzv3ofx" Type="http://schemas.openxmlformats.org/officeDocument/2006/relationships/hyperlink" Target="https://strategysharesetfs.com/mply/" TargetMode="External"/><Relationship Id="rIdxickndr80oxx8sukvdi4t" Type="http://schemas.openxmlformats.org/officeDocument/2006/relationships/hyperlink" Target="https://en.wikipedia.org/wiki/EBay" TargetMode="External"/><Relationship Id="rId380lvcmylszdsgduvwwka" Type="http://schemas.openxmlformats.org/officeDocument/2006/relationships/hyperlink" Target="https://en.wikipedia.org/wiki/Craigslist" TargetMode="External"/><Relationship Id="rIddxbk1r5ahjqm1qfmwsvxp" Type="http://schemas.openxmlformats.org/officeDocument/2006/relationships/hyperlink" Target="https://strategysharesetfs.com/mply/"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2026-09-23T11:16:32.465Z</dcterms:created>
  <dcterms:modified xsi:type="dcterms:W3CDTF">2026-09-23T11:16:32.465Z</dcterms:modified>
</cp:coreProperties>
</file>

<file path=docProps/custom.xml><?xml version="1.0" encoding="utf-8"?>
<Properties xmlns="http://schemas.openxmlformats.org/officeDocument/2006/custom-properties" xmlns:vt="http://schemas.openxmlformats.org/officeDocument/2006/docPropsVTypes"/>
</file>