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Pricing Power and Why It Matters for Investors</w:t>
      </w:r>
    </w:p>
    <w:p>
      <w:pPr>
        <w:spacing w:after="200"/>
      </w:pPr>
      <w:r>
        <w:rPr>
          <w:rFonts w:ascii="Georgia" w:cs="Georgia" w:eastAsia="Georgia" w:hAnsi="Georgia"/>
          <w:sz w:val="23"/>
          <w:szCs w:val="23"/>
        </w:rPr>
        <w:t xml:space="preserve">Pricing power is a company's ability to raise prices without a corresponding drop in demand. It sounds simple, but it is one of the more reliable signals investors use to judge how defensible a business really is. A company that can pass along higher costs, or charge more simply because customers have few alternatives, tends to protect its profit margins in ways a company without that ability cannot.</w:t>
      </w:r>
    </w:p>
    <w:p>
      <w:pPr>
        <w:pStyle w:val="Heading2"/>
        <w:spacing w:after="140" w:before="260"/>
      </w:pPr>
      <w:r>
        <w:rPr>
          <w:rFonts w:ascii="Georgia" w:cs="Georgia" w:eastAsia="Georgia" w:hAnsi="Georgia"/>
          <w:b/>
          <w:bCs/>
          <w:sz w:val="26"/>
          <w:szCs w:val="26"/>
        </w:rPr>
        <w:t xml:space="preserve">Why Pricing Power Exists</w:t>
      </w:r>
    </w:p>
    <w:p>
      <w:pPr>
        <w:spacing w:after="200"/>
      </w:pPr>
      <w:r>
        <w:rPr>
          <w:rFonts w:ascii="Georgia" w:cs="Georgia" w:eastAsia="Georgia" w:hAnsi="Georgia"/>
          <w:sz w:val="23"/>
          <w:szCs w:val="23"/>
        </w:rPr>
        <w:t xml:space="preserve">Pricing power rarely comes from a single source. It tends to build from some combination of weak substitutes, high switching costs, brand loyalty, or genuine product differentiation. A utility can raise rates because customers have nowhere else to go. A luxury brand can raise prices because part of what customers are buying is the exclusivity itself. A dominant software platform can raise subscription fees because migrating a company's data and workflows elsewhere is expensive and disruptive.</w:t>
      </w:r>
    </w:p>
    <w:p>
      <w:pPr>
        <w:spacing w:after="200"/>
      </w:pPr>
      <w:r>
        <w:rPr>
          <w:rFonts w:ascii="Georgia" w:cs="Georgia" w:eastAsia="Georgia" w:hAnsi="Georgia"/>
          <w:sz w:val="23"/>
          <w:szCs w:val="23"/>
        </w:rPr>
        <w:t xml:space="preserve">Demand elasticity is the underlying economic concept. When demand for a product is inelastic, meaning volume does not fall much even as price rises, a business has room to push prices higher. When demand is elastic, price increases chase customers away faster than they add to revenue, and pricing power disappears.</w:t>
      </w:r>
    </w:p>
    <w:p>
      <w:pPr>
        <w:pStyle w:val="Heading2"/>
        <w:spacing w:after="140" w:before="260"/>
      </w:pPr>
      <w:r>
        <w:rPr>
          <w:rFonts w:ascii="Georgia" w:cs="Georgia" w:eastAsia="Georgia" w:hAnsi="Georgia"/>
          <w:b/>
          <w:bCs/>
          <w:sz w:val="26"/>
          <w:szCs w:val="26"/>
        </w:rPr>
        <w:t xml:space="preserve">How Investors Look for It</w:t>
      </w:r>
    </w:p>
    <w:p>
      <w:pPr>
        <w:spacing w:after="200"/>
      </w:pPr>
      <w:r>
        <w:rPr>
          <w:rFonts w:ascii="Georgia" w:cs="Georgia" w:eastAsia="Georgia" w:hAnsi="Georgia"/>
          <w:sz w:val="23"/>
          <w:szCs w:val="23"/>
        </w:rPr>
        <w:t xml:space="preserve">Gross margin trends are one of the more direct tells. A company sustaining or expanding gross margins during a period of rising input costs is passing those costs on to customers, which is pricing power in action. Revenue growth that outpaces unit or volume growth points the same direction: the company is selling roughly the same amount for more money, not simply selling more.</w:t>
      </w:r>
    </w:p>
    <w:p>
      <w:pPr>
        <w:spacing w:after="200"/>
      </w:pPr>
      <w:r>
        <w:rPr>
          <w:rFonts w:ascii="Georgia" w:cs="Georgia" w:eastAsia="Georgia" w:hAnsi="Georgia"/>
          <w:sz w:val="23"/>
          <w:szCs w:val="23"/>
        </w:rPr>
        <w:t xml:space="preserve">Earnings calls and investor letters are also useful, if read skeptically. Management teams that can describe specific price increases and the retention of customers through them are demonstrating something concrete, not just asserting brand strength.</w:t>
      </w:r>
    </w:p>
    <w:p>
      <w:pPr>
        <w:pStyle w:val="Heading2"/>
        <w:spacing w:after="140" w:before="260"/>
      </w:pPr>
      <w:r>
        <w:rPr>
          <w:rFonts w:ascii="Georgia" w:cs="Georgia" w:eastAsia="Georgia" w:hAnsi="Georgia"/>
          <w:b/>
          <w:bCs/>
          <w:sz w:val="26"/>
          <w:szCs w:val="26"/>
        </w:rPr>
        <w:t xml:space="preserve">Where Pricing Power Breaks Down</w:t>
      </w:r>
    </w:p>
    <w:p>
      <w:pPr>
        <w:spacing w:after="200"/>
      </w:pPr>
      <w:r>
        <w:rPr>
          <w:rFonts w:ascii="Georgia" w:cs="Georgia" w:eastAsia="Georgia" w:hAnsi="Georgia"/>
          <w:sz w:val="23"/>
          <w:szCs w:val="23"/>
        </w:rPr>
        <w:t xml:space="preserve">Pricing power is not permanent. Regulation can cap what a utility or a pharmaceutical company charges. A well-funded competitor can undercut a brand's premium. A macroeconomic downturn can push even loyal customers toward cheaper alternatives once their own budgets tighten. And elasticity is rarely fixed: a company can raise prices once without losing customers and still find the second increase is the one that finally pushes buyers away.</w:t>
      </w:r>
    </w:p>
    <w:p>
      <w:pPr>
        <w:spacing w:after="200"/>
      </w:pPr>
      <w:r>
        <w:rPr>
          <w:rFonts w:ascii="Georgia" w:cs="Georgia" w:eastAsia="Georgia" w:hAnsi="Georgia"/>
          <w:sz w:val="23"/>
          <w:szCs w:val="23"/>
        </w:rPr>
        <w:t xml:space="preserve">Durable pricing power, sustained over many years and multiple price increases, is a different and rarer thing than a single successful price hike. That durability is part of what separates a business with a genuine competitive advantage from one simply benefiting from a temporary supply shortage or a one-time product cycle. It is also one of the characteristics that actively managed funds screening for monopolistic or oligopolistic business traits, such as the MPLY ETF, look for when evaluating whether a company's advantage is likely to hold up over time.</w:t>
      </w:r>
    </w:p>
    <w:p>
      <w:pPr>
        <w:spacing w:after="0" w:before="280"/>
      </w:pPr>
      <w:r>
        <w:rPr>
          <w:rFonts w:ascii="Georgia" w:cs="Georgia" w:eastAsia="Georgia" w:hAnsi="Georgia"/>
          <w:color w:val="1F4E78"/>
          <w:sz w:val="22"/>
          <w:szCs w:val="22"/>
        </w:rPr>
        <w:t xml:space="preserve">#PricingPower #InvestingBasics #CompetitiveAdvantage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2026-09-23T07:27:19.771Z</dcterms:created>
  <dcterms:modified xsi:type="dcterms:W3CDTF">2026-09-23T07:27:19.780Z</dcterms:modified>
</cp:coreProperties>
</file>

<file path=docProps/custom.xml><?xml version="1.0" encoding="utf-8"?>
<Properties xmlns="http://schemas.openxmlformats.org/officeDocument/2006/custom-properties" xmlns:vt="http://schemas.openxmlformats.org/officeDocument/2006/docPropsVTypes"/>
</file>