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Brand Strength Creates Pricing Power</w:t>
      </w:r>
    </w:p>
    <w:p>
      <w:pPr>
        <w:spacing w:after="200"/>
      </w:pPr>
      <w:r>
        <w:rPr>
          <w:rFonts w:ascii="Georgia" w:cs="Georgia" w:eastAsia="Georgia" w:hAnsi="Georgia"/>
          <w:sz w:val="23"/>
          <w:szCs w:val="23"/>
        </w:rPr>
        <w:t xml:space="preserve">Brand and pricing power get connected constantly in investing commentary, but the actual mechanism linking them is more specific than "customers like the brand, so they'll pay more." What a strong brand does economically is change how customers respond to price itself, sometimes reversing the normal relationship between price and demand entirely.</w:t>
      </w:r>
    </w:p>
    <w:p>
      <w:pPr>
        <w:pStyle w:val="Heading2"/>
        <w:spacing w:after="140" w:before="260"/>
      </w:pPr>
      <w:r>
        <w:rPr>
          <w:rFonts w:ascii="Georgia" w:cs="Georgia" w:eastAsia="Georgia" w:hAnsi="Georgia"/>
          <w:b/>
          <w:bCs/>
          <w:sz w:val="26"/>
          <w:szCs w:val="26"/>
        </w:rPr>
        <w:t xml:space="preserve">The Normal Relationship, and Where Brand Breaks It</w:t>
      </w:r>
    </w:p>
    <w:p>
      <w:pPr>
        <w:spacing w:after="200"/>
      </w:pPr>
      <w:r>
        <w:rPr>
          <w:rFonts w:ascii="Georgia" w:cs="Georgia" w:eastAsia="Georgia" w:hAnsi="Georgia"/>
          <w:sz w:val="23"/>
          <w:szCs w:val="23"/>
        </w:rPr>
        <w:t xml:space="preserve">For most goods, demand falls as price rises, the basic logic of a downward-sloping demand curve. Strong brands can weaken or even invert that relationship within a range: economists call goods where higher prices can coexist with, or even support, demand Veblen goods, named after economist Thorstein Veblen, who described conspicuous consumption in the late 19th century. Luxury goods are the clearest case. A handbag or watch priced meaningfully higher than a functionally similar alternative isn't losing customers to the price gap, for part of the target customer base, the price is part of what's being purchased, a costly, visible signal of status that a cheaper equivalent couldn't provide.</w:t>
      </w:r>
    </w:p>
    <w:p>
      <w:pPr>
        <w:pStyle w:val="Heading2"/>
        <w:spacing w:after="140" w:before="260"/>
      </w:pPr>
      <w:r>
        <w:rPr>
          <w:rFonts w:ascii="Georgia" w:cs="Georgia" w:eastAsia="Georgia" w:hAnsi="Georgia"/>
          <w:b/>
          <w:bCs/>
          <w:sz w:val="26"/>
          <w:szCs w:val="26"/>
        </w:rPr>
        <w:t xml:space="preserve">The Mechanism Isn't Limited to Luxury</w:t>
      </w:r>
    </w:p>
    <w:p>
      <w:pPr>
        <w:spacing w:after="200"/>
      </w:pPr>
      <w:r>
        <w:rPr>
          <w:rFonts w:ascii="Georgia" w:cs="Georgia" w:eastAsia="Georgia" w:hAnsi="Georgia"/>
          <w:sz w:val="23"/>
          <w:szCs w:val="23"/>
        </w:rPr>
        <w:t xml:space="preserve">Outside true luxury, brand strength still shifts pricing behavior through a less extreme version of the same logic: perceived risk reduction and habit. A well-established brand reduces a customer's uncertainty about quality, which lets it charge a premium over an unfamiliar alternative even when the actual product difference is modest. That premium isn't about status signaling, it's about customers paying to avoid the risk and research cost of trying something unproven.</w:t>
      </w:r>
    </w:p>
    <w:p>
      <w:pPr>
        <w:pStyle w:val="Heading2"/>
        <w:spacing w:after="140" w:before="260"/>
      </w:pPr>
      <w:r>
        <w:rPr>
          <w:rFonts w:ascii="Georgia" w:cs="Georgia" w:eastAsia="Georgia" w:hAnsi="Georgia"/>
          <w:b/>
          <w:bCs/>
          <w:sz w:val="26"/>
          <w:szCs w:val="26"/>
        </w:rPr>
        <w:t xml:space="preserve">Why the Distinction From Loyalty Matters</w:t>
      </w:r>
    </w:p>
    <w:p>
      <w:pPr>
        <w:spacing w:after="200"/>
      </w:pPr>
      <w:r>
        <w:rPr>
          <w:rFonts w:ascii="Georgia" w:cs="Georgia" w:eastAsia="Georgia" w:hAnsi="Georgia"/>
          <w:sz w:val="23"/>
          <w:szCs w:val="23"/>
        </w:rPr>
        <w:t xml:space="preserve">Brand loyalty, covered elsewhere, describes why customers keep coming back. Brand-driven pricing power is a narrower, more specific claim: that the brand itself lets a company charge more than an equivalent competitor, not just retain customers at a given price. A brand can support strong loyalty at a low price point without demonstrating pricing power at all, and distinguishing the two prevents overestimating what a well-liked brand is actually worth financially.</w:t>
      </w:r>
    </w:p>
    <w:p>
      <w:pPr>
        <w:pStyle w:val="Heading2"/>
        <w:spacing w:after="140" w:before="260"/>
      </w:pPr>
      <w:r>
        <w:rPr>
          <w:rFonts w:ascii="Georgia" w:cs="Georgia" w:eastAsia="Georgia" w:hAnsi="Georgia"/>
          <w:b/>
          <w:bCs/>
          <w:sz w:val="26"/>
          <w:szCs w:val="26"/>
        </w:rPr>
        <w:t xml:space="preserve">Evidence to Look For</w:t>
      </w:r>
    </w:p>
    <w:p>
      <w:pPr>
        <w:spacing w:after="200"/>
      </w:pPr>
      <w:r>
        <w:rPr>
          <w:rFonts w:ascii="Georgia" w:cs="Georgia" w:eastAsia="Georgia" w:hAnsi="Georgia"/>
          <w:sz w:val="23"/>
          <w:szCs w:val="23"/>
        </w:rPr>
        <w:t xml:space="preserve">The clearest test is a direct price comparison against a functionally similar competitor: does the branded product sustain a meaningfully higher price while maintaining or growing volume? A brand that can only compete at parity pricing, matching competitors despite stronger recognition, is demonstrating loyalty or awareness without the specific pricing-power component this mechanism describes.</w:t>
      </w:r>
    </w:p>
    <w:p>
      <w:pPr>
        <w:pStyle w:val="Heading2"/>
        <w:spacing w:after="140" w:before="260"/>
      </w:pPr>
      <w:r>
        <w:rPr>
          <w:rFonts w:ascii="Georgia" w:cs="Georgia" w:eastAsia="Georgia" w:hAnsi="Georgia"/>
          <w:b/>
          <w:bCs/>
          <w:sz w:val="26"/>
          <w:szCs w:val="26"/>
        </w:rPr>
        <w:t xml:space="preserve">How MPLY's Screen Applies This Mechanism</w:t>
      </w:r>
    </w:p>
    <w:p>
      <w:pPr>
        <w:spacing w:after="200"/>
      </w:pPr>
      <w:r>
        <w:rPr>
          <w:rFonts w:ascii="Georgia" w:cs="Georgia" w:eastAsia="Georgia" w:hAnsi="Georgia"/>
          <w:sz w:val="23"/>
          <w:szCs w:val="23"/>
        </w:rPr>
        <w:t xml:space="preserve">Brand dominance and pricing power are both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and the fund's process treats them as related but separately testable characteristics, consistent with the distinction this article draws. A brand that has demonstrated an actual price premium, not just recognition or loyalty, is a stronger fit for the fund's thesis than one whose strength hasn't been tested against a direct pricing comparison.</w:t>
      </w:r>
    </w:p>
    <w:p>
      <w:pPr>
        <w:spacing w:after="200"/>
      </w:pPr>
      <w:r>
        <w:rPr>
          <w:rFonts w:ascii="Georgia" w:cs="Georgia" w:eastAsia="Georgia" w:hAnsi="Georgia"/>
          <w:sz w:val="23"/>
          <w:szCs w:val="23"/>
        </w:rPr>
        <w:t xml:space="preserve">The fund's </w:t>
      </w:r>
      <w:hyperlink w:history="1" r:id="rId39gnld16ocqqzzcsavdms">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describes its current holdings and full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eupsjdowpi9smg5f-yr4">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#BrandStrength #PricingPower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9gnld16ocqqzzcsavdms" Type="http://schemas.openxmlformats.org/officeDocument/2006/relationships/hyperlink" Target="https://strategysharesetfs.com/mply/" TargetMode="External"/><Relationship Id="rId-eupsjdowpi9smg5f-yr4"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2026-09-23T11:26:49.923Z</dcterms:created>
  <dcterms:modified xsi:type="dcterms:W3CDTF">2026-09-23T11:26:49.926Z</dcterms:modified>
</cp:coreProperties>
</file>

<file path=docProps/custom.xml><?xml version="1.0" encoding="utf-8"?>
<Properties xmlns="http://schemas.openxmlformats.org/officeDocument/2006/custom-properties" xmlns:vt="http://schemas.openxmlformats.org/officeDocument/2006/docPropsVTypes"/>
</file>