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Georgia" w:cs="Georgia" w:eastAsia="Georgia" w:hAnsi="Georgia"/>
          <w:b/>
          <w:bCs/>
          <w:sz w:val="32"/>
          <w:szCs w:val="32"/>
        </w:rPr>
        <w:t xml:space="preserve">What Is a High Quality Business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 high quality business, in the investing sense, is one whose economics, not just its current profitability, are built to persist. Quality is a narrower, more testable claim than "good company": it's specifically about the combination of profitability, capital efficiency, and balance sheet strength that lets a business keep compounding value over time without needing constantly favorable conditions to do it.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The Three Pillars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Profitability: consistently strong margins relative to the industry, not just a single strong year. Capital efficiency: high returns on the capital actually invested in the business, measured through return on invested capital, rather than raw profit dollars that could simply reflect a large asset base. Balance sheet strength: manageable debt levels and enough cash generation that the business isn't dependent on favorable credit markets or external financing to keep operating and reinvesting.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Why All Three Matter Together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 business can score well on one pillar and poorly on the others. A highly leveraged company can show strong returns on equity while carrying real balance sheet risk. A high-margin business with poor capital efficiency might be reinvesting heavily in low-return growth. A company can be reliably profitable this way, this quarter, while a weak balance sheet leaves it exposed to any disruption in financing. Quality, in the fuller sense, requires the combination holding up together, not just one metric looking impressive in isolation.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How Quality Relates to a Moat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A durable competitive advantage is usually the underlying reason a business can sustain quality economics over time, rather than seeing margins and returns compete away as rivals catch up. Quality is more the financial signature; a moat is more the structural explanation for why that signature persists. The two concepts overlap heavily in practice: identifying a business's moat is one of the more reliable ways to predict whether its current quality metrics will hold up.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Where the Concept Gets Misapplied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High quality gets conflated with "popular" or "well known" often enough that it's worth separating explicitly. A widely recognized company can have mediocre capital efficiency; a little-known company in an unglamorous industry can score strongly across all three pillars. The three-pillar test is meant to replace impression-based judgments with something closer to a checklist, not to formalize whatever a company's public reputation already suggests.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How MPLY's Screening Approach Relates to Business Quality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The Strategy Shares Monopoly ETF's (</w:t>
      </w:r>
      <w:r>
        <w:rPr>
          <w:rFonts w:ascii="Georgia" w:cs="Georgia" w:eastAsia="Georgia" w:hAnsi="Georgia"/>
          <w:b/>
          <w:bCs/>
          <w:sz w:val="23"/>
          <w:szCs w:val="23"/>
        </w:rPr>
        <w:t xml:space="preserve">MPLY</w:t>
      </w:r>
      <w:r>
        <w:rPr>
          <w:rFonts w:ascii="Georgia" w:cs="Georgia" w:eastAsia="Georgia" w:hAnsi="Georgia"/>
          <w:sz w:val="23"/>
          <w:szCs w:val="23"/>
        </w:rPr>
        <w:t xml:space="preserve">) stated criteria, monopolistic or oligopolistic economic rents specifically, describe a version of sustained quality economics: returns durable enough to persist because competition is structurally limited, not because a business happens to be having a strong period. A company that scores well across the three pillars above, and can explain why through one of the fund's named characteristics, is a stronger fit for its thesis than one whose quality metrics lack an identifiable structural cause.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The fund's </w:t>
      </w:r>
      <w:hyperlink w:history="1" r:id="rIdpsgtd_4vmfm_js75nrrvr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official page</w:t>
        </w:r>
      </w:hyperlink>
      <w:r>
        <w:rPr>
          <w:rFonts w:ascii="Georgia" w:cs="Georgia" w:eastAsia="Georgia" w:hAnsi="Georgia"/>
          <w:sz w:val="23"/>
          <w:szCs w:val="23"/>
        </w:rPr>
        <w:t xml:space="preserve"> lists its current holdings and full investment approach.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FAQ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sz w:val="23"/>
          <w:szCs w:val="23"/>
        </w:rPr>
        <w:t xml:space="preserve">Is a high quality business always a good investment?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No. Quality describes the underlying business economics, not the price of the stock. A genuinely high quality business bought at too high a valuation can still be a poor investment.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sz w:val="23"/>
          <w:szCs w:val="23"/>
        </w:rPr>
        <w:t xml:space="preserve">Can a business become high quality over time?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Yes, though it's less common than quality eroding. A business can improve its quality profile by paying down debt, improving capital allocation discipline, or building a genuine competitive advantage it previously lacked.</w:t>
      </w:r>
    </w:p>
    <w:p>
      <w:pPr>
        <w:spacing w:after="60" w:before="160"/>
      </w:pPr>
      <w:r>
        <w:rPr>
          <w:rFonts w:ascii="Georgia" w:cs="Georgia" w:eastAsia="Georgia" w:hAnsi="Georgia"/>
          <w:b/>
          <w:bCs/>
          <w:sz w:val="23"/>
          <w:szCs w:val="23"/>
        </w:rPr>
        <w:t xml:space="preserve">Does a high quality business need to be large?</w:t>
      </w:r>
    </w:p>
    <w:p>
      <w:pPr>
        <w:spacing w:after="200"/>
      </w:pPr>
      <w:r>
        <w:rPr>
          <w:rFonts w:ascii="Georgia" w:cs="Georgia" w:eastAsia="Georgia" w:hAnsi="Georgia"/>
          <w:sz w:val="23"/>
          <w:szCs w:val="23"/>
        </w:rPr>
        <w:t xml:space="preserve">No. Company size and business quality are different dimensions. A small company with strong margins, high ROIC, and a clean balance sheet can score well on all three pillars; a large company with weak capital efficiency or heavy debt may not.</w:t>
      </w:r>
    </w:p>
    <w:p>
      <w:pPr>
        <w:pStyle w:val="Heading2"/>
        <w:spacing w:after="140" w:before="260"/>
      </w:pPr>
      <w:r>
        <w:rPr>
          <w:rFonts w:ascii="Georgia" w:cs="Georgia" w:eastAsia="Georgia" w:hAnsi="Georgia"/>
          <w:b/>
          <w:bCs/>
          <w:sz w:val="26"/>
          <w:szCs w:val="26"/>
        </w:rPr>
        <w:t xml:space="preserve">Sources</w:t>
      </w:r>
    </w:p>
    <w:p>
      <w:pPr>
        <w:pStyle w:val="ListParagraph"/>
        <w:numPr>
          <w:ilvl w:val="0"/>
          <w:numId w:val="1"/>
        </w:numPr>
        <w:spacing w:after="100"/>
      </w:pPr>
      <w:hyperlink w:history="1" r:id="rId8zjamtouuu0kxkyqrkllw">
        <w:r>
          <w:rPr>
            <w:rFonts w:ascii="Georgia" w:cs="Georgia" w:eastAsia="Georgia" w:hAnsi="Georgia"/>
            <w:color w:val="1155CC"/>
            <w:sz w:val="23"/>
            <w:szCs w:val="23"/>
            <w:u w:val="single"/>
          </w:rPr>
          <w:t xml:space="preserve">Strategy Shares Monopoly ETF official fund page (screening criteria)</w:t>
        </w:r>
      </w:hyperlink>
    </w:p>
    <w:p>
      <w:pPr>
        <w:spacing w:after="0" w:before="280"/>
      </w:pPr>
      <w:r>
        <w:rPr>
          <w:rFonts w:ascii="Georgia" w:cs="Georgia" w:eastAsia="Georgia" w:hAnsi="Georgia"/>
          <w:color w:val="1F4E78"/>
          <w:sz w:val="22"/>
          <w:szCs w:val="22"/>
        </w:rPr>
        <w:t xml:space="preserve">#QualityInvesting #BusinessQuality #ROIC #EconomicMoat #MPLY #Investing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sgtd_4vmfm_js75nrrvr" Type="http://schemas.openxmlformats.org/officeDocument/2006/relationships/hyperlink" Target="https://strategysharesetfs.com/mply/" TargetMode="External"/><Relationship Id="rId8zjamtouuu0kxkyqrkllw" Type="http://schemas.openxmlformats.org/officeDocument/2006/relationships/hyperlink" Target="https://strategysharesetfs.com/mply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2026-09-23T11:26:50.066Z</dcterms:created>
  <dcterms:modified xsi:type="dcterms:W3CDTF">2026-09-23T11:26:50.066Z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