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Return on Invested Capital</w:t>
      </w:r>
    </w:p>
    <w:p>
      <w:pPr>
        <w:spacing w:after="200"/>
      </w:pPr>
      <w:r>
        <w:rPr>
          <w:rFonts w:ascii="Georgia" w:cs="Georgia" w:eastAsia="Georgia" w:hAnsi="Georgia"/>
          <w:sz w:val="23"/>
          <w:szCs w:val="23"/>
        </w:rPr>
        <w:t xml:space="preserve">Return on invested capital, ROIC, measures how efficiently a company turns the capital invested in it, both debt and equity, into profit. It answers a specific question: for every dollar tied up in this business, how much operating profit does the business generate? That's a different, and often more useful, question than simply asking how large a company's profits are.</w:t>
      </w:r>
    </w:p>
    <w:p>
      <w:pPr>
        <w:pStyle w:val="Heading2"/>
        <w:spacing w:after="140" w:before="260"/>
      </w:pPr>
      <w:r>
        <w:rPr>
          <w:rFonts w:ascii="Georgia" w:cs="Georgia" w:eastAsia="Georgia" w:hAnsi="Georgia"/>
          <w:b/>
          <w:bCs/>
          <w:sz w:val="26"/>
          <w:szCs w:val="26"/>
        </w:rPr>
        <w:t xml:space="preserve">The Formula</w:t>
      </w:r>
    </w:p>
    <w:p>
      <w:pPr>
        <w:spacing w:after="200"/>
      </w:pPr>
      <w:r>
        <w:rPr>
          <w:rFonts w:ascii="Georgia" w:cs="Georgia" w:eastAsia="Georgia" w:hAnsi="Georgia"/>
          <w:sz w:val="23"/>
          <w:szCs w:val="23"/>
        </w:rPr>
        <w:t xml:space="preserve">ROIC is generally calculated as net operating profit after tax (NOPAT) divided by invested capital, the sum of a company's debt and equity capital, net of excess cash not needed to run the business. A company with $2 billion in invested capital that generates $300 million in NOPAT has an ROIC of 15%. A larger company with $10 billion in invested capital generating the same $300 million has an ROIC of just 3%, despite identical absolute profit, a meaningfully worse use of the capital actually deployed.</w:t>
      </w:r>
    </w:p>
    <w:p>
      <w:pPr>
        <w:pStyle w:val="Heading2"/>
        <w:spacing w:after="140" w:before="260"/>
      </w:pPr>
      <w:r>
        <w:rPr>
          <w:rFonts w:ascii="Georgia" w:cs="Georgia" w:eastAsia="Georgia" w:hAnsi="Georgia"/>
          <w:b/>
          <w:bCs/>
          <w:sz w:val="26"/>
          <w:szCs w:val="26"/>
        </w:rPr>
        <w:t xml:space="preserve">Why Invested Capital Matters More Than Total Assets</w:t>
      </w:r>
    </w:p>
    <w:p>
      <w:pPr>
        <w:spacing w:after="200"/>
      </w:pPr>
      <w:r>
        <w:rPr>
          <w:rFonts w:ascii="Georgia" w:cs="Georgia" w:eastAsia="Georgia" w:hAnsi="Georgia"/>
          <w:sz w:val="23"/>
          <w:szCs w:val="23"/>
        </w:rPr>
        <w:t xml:space="preserve">ROIC deliberately excludes non-operating assets and excess cash that isn't actually being used to generate the company's core profits, which is what separates it from simpler measures like return on assets. A company sitting on a large cash pile isn't necessarily using that cash efficiently, including it in the denominator would understate how well the company's actual operating capital is performing.</w:t>
      </w:r>
    </w:p>
    <w:p>
      <w:pPr>
        <w:pStyle w:val="Heading2"/>
        <w:spacing w:after="140" w:before="260"/>
      </w:pPr>
      <w:r>
        <w:rPr>
          <w:rFonts w:ascii="Georgia" w:cs="Georgia" w:eastAsia="Georgia" w:hAnsi="Georgia"/>
          <w:b/>
          <w:bCs/>
          <w:sz w:val="26"/>
          <w:szCs w:val="26"/>
        </w:rPr>
        <w:t xml:space="preserve">What Counts as a Strong ROIC</w:t>
      </w:r>
    </w:p>
    <w:p>
      <w:pPr>
        <w:spacing w:after="200"/>
      </w:pPr>
      <w:r>
        <w:rPr>
          <w:rFonts w:ascii="Georgia" w:cs="Georgia" w:eastAsia="Georgia" w:hAnsi="Georgia"/>
          <w:sz w:val="23"/>
          <w:szCs w:val="23"/>
        </w:rPr>
        <w:t xml:space="preserve">There's no single universal threshold, since capital intensity varies enormously by industry, but the more informative comparison is ROIC against the company's cost of capital, its weighted average cost of capital, or WACC. A company earning 15% ROIC against an 8% WACC is creating real economic value with every dollar of capital it deploys. A company earning 9% ROIC against the same 8% WACC is barely covering its cost of capital and creating very little value despite technically being profitable.</w:t>
      </w:r>
    </w:p>
    <w:p>
      <w:pPr>
        <w:pStyle w:val="Heading2"/>
        <w:spacing w:after="140" w:before="260"/>
      </w:pPr>
      <w:r>
        <w:rPr>
          <w:rFonts w:ascii="Georgia" w:cs="Georgia" w:eastAsia="Georgia" w:hAnsi="Georgia"/>
          <w:b/>
          <w:bCs/>
          <w:sz w:val="26"/>
          <w:szCs w:val="26"/>
        </w:rPr>
        <w:t xml:space="preserve">The Limitation</w:t>
      </w:r>
    </w:p>
    <w:p>
      <w:pPr>
        <w:spacing w:after="200"/>
      </w:pPr>
      <w:r>
        <w:rPr>
          <w:rFonts w:ascii="Georgia" w:cs="Georgia" w:eastAsia="Georgia" w:hAnsi="Georgia"/>
          <w:sz w:val="23"/>
          <w:szCs w:val="23"/>
        </w:rPr>
        <w:t xml:space="preserve">A high ROIC in a single year, or even several years, doesn't by itself prove a durable advantage; it could reflect a temporary favorable cycle, an unusually good product launch, or an industry-wide tailwind that will fade. ROIC is a measurement of current economic performance, not a guarantee about the future, which is why it's typically paired with an analysis of why the return is high, not treated as sufficient evidence on its own.</w:t>
      </w:r>
    </w:p>
    <w:p>
      <w:pPr>
        <w:pStyle w:val="Heading2"/>
        <w:spacing w:after="140" w:before="260"/>
      </w:pPr>
      <w:r>
        <w:rPr>
          <w:rFonts w:ascii="Georgia" w:cs="Georgia" w:eastAsia="Georgia" w:hAnsi="Georgia"/>
          <w:b/>
          <w:bCs/>
          <w:sz w:val="26"/>
          <w:szCs w:val="26"/>
        </w:rPr>
        <w:t xml:space="preserve">How MPLY's Screen Relates to ROIC</w:t>
      </w:r>
    </w:p>
    <w:p>
      <w:pPr>
        <w:spacing w:after="200"/>
      </w:pPr>
      <w:r>
        <w:rPr>
          <w:rFonts w:ascii="Georgia" w:cs="Georgia" w:eastAsia="Georgia" w:hAnsi="Georgia"/>
          <w:sz w:val="23"/>
          <w:szCs w:val="23"/>
        </w:rPr>
        <w:t xml:space="preserve">ROIC isn't named directly as a criterion in 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approach, consistent with the limitation above: a high ROIC alone doesn't demonstrate the kind of durable, structurally protected position the fund's process is built to identify. The fund's named characteristics, brand dominance, barriers to entry, and the rest, describe the reasons a high ROIC might actually persist, which is the more useful question than the ROIC figure by itself.</w:t>
      </w:r>
    </w:p>
    <w:p>
      <w:pPr>
        <w:spacing w:after="200"/>
      </w:pPr>
      <w:r>
        <w:rPr>
          <w:rFonts w:ascii="Georgia" w:cs="Georgia" w:eastAsia="Georgia" w:hAnsi="Georgia"/>
          <w:sz w:val="23"/>
          <w:szCs w:val="23"/>
        </w:rPr>
        <w:t xml:space="preserve">MPLY's </w:t>
      </w:r>
      <w:hyperlink w:history="1" r:id="rId15g1m0d5mpyokhf_h-hdk">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describes its full investment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m2ntqmogde91tuvmnsojs">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#ROIC #QualityInvesting #CapitalEfficiency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5g1m0d5mpyokhf_h-hdk" Type="http://schemas.openxmlformats.org/officeDocument/2006/relationships/hyperlink" Target="https://strategysharesetfs.com/mply/" TargetMode="External"/><Relationship Id="rIdm2ntqmogde91tuvmnsojs" Type="http://schemas.openxmlformats.org/officeDocument/2006/relationships/hyperlink" Target="https://strategysharesetfs.com/mply/"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2026-09-23T11:26:50.095Z</dcterms:created>
  <dcterms:modified xsi:type="dcterms:W3CDTF">2026-09-23T11:26:50.095Z</dcterms:modified>
</cp:coreProperties>
</file>

<file path=docProps/custom.xml><?xml version="1.0" encoding="utf-8"?>
<Properties xmlns="http://schemas.openxmlformats.org/officeDocument/2006/custom-properties" xmlns:vt="http://schemas.openxmlformats.org/officeDocument/2006/docPropsVTypes"/>
</file>