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Georgia" w:cs="Georgia" w:eastAsia="Georgia" w:hAnsi="Georgia"/>
          <w:b/>
          <w:bCs/>
          <w:sz w:val="32"/>
          <w:szCs w:val="32"/>
        </w:rPr>
        <w:t xml:space="preserve">Why High ROIC Matters for Investors</w:t>
      </w:r>
    </w:p>
    <w:p>
      <w:pPr>
        <w:spacing w:after="200"/>
      </w:pPr>
      <w:r>
        <w:rPr>
          <w:rFonts w:ascii="Georgia" w:cs="Georgia" w:eastAsia="Georgia" w:hAnsi="Georgia"/>
          <w:sz w:val="23"/>
          <w:szCs w:val="23"/>
        </w:rPr>
        <w:t xml:space="preserve">Knowing what ROIC measures is one question; knowing why it should actually change how an investor evaluates a company is a separate, more practical one. The short version: ROIC tells you what happens to every additional dollar a company reinvests, which compounds into a very different long-term outcome depending on whether that number is high or low.</w:t>
      </w:r>
    </w:p>
    <w:p>
      <w:pPr>
        <w:pStyle w:val="Heading2"/>
        <w:spacing w:after="140" w:before="260"/>
      </w:pPr>
      <w:r>
        <w:rPr>
          <w:rFonts w:ascii="Georgia" w:cs="Georgia" w:eastAsia="Georgia" w:hAnsi="Georgia"/>
          <w:b/>
          <w:bCs/>
          <w:sz w:val="26"/>
          <w:szCs w:val="26"/>
        </w:rPr>
        <w:t xml:space="preserve">What to Look For: The Reinvestment Multiplier</w:t>
      </w:r>
    </w:p>
    <w:p>
      <w:pPr>
        <w:spacing w:after="200"/>
      </w:pPr>
      <w:r>
        <w:rPr>
          <w:rFonts w:ascii="Georgia" w:cs="Georgia" w:eastAsia="Georgia" w:hAnsi="Georgia"/>
          <w:sz w:val="23"/>
          <w:szCs w:val="23"/>
        </w:rPr>
        <w:t xml:space="preserve">A company earning 25% ROIC that reinvests its earnings back into the business at that same rate compounds shareholder value far faster than a company earning 8% ROIC reinvesting at that lower rate, even if both companies grow revenue at similar speeds. High-ROIC reinvestment is doing more with the same dollar; low-ROIC reinvestment is doing less, which is why two companies with similar growth headlines can produce very different long-term shareholder outcomes depending entirely on the return their reinvested capital actually earns.</w:t>
      </w:r>
    </w:p>
    <w:p>
      <w:pPr>
        <w:pStyle w:val="Heading2"/>
        <w:spacing w:after="140" w:before="260"/>
      </w:pPr>
      <w:r>
        <w:rPr>
          <w:rFonts w:ascii="Georgia" w:cs="Georgia" w:eastAsia="Georgia" w:hAnsi="Georgia"/>
          <w:b/>
          <w:bCs/>
          <w:sz w:val="26"/>
          <w:szCs w:val="26"/>
        </w:rPr>
        <w:t xml:space="preserve">Key Indicators to Check</w:t>
      </w:r>
    </w:p>
    <w:p>
      <w:pPr>
        <w:pStyle w:val="ListParagraph"/>
        <w:numPr>
          <w:ilvl w:val="0"/>
          <w:numId w:val="1"/>
        </w:numPr>
        <w:spacing w:after="100"/>
      </w:pPr>
      <w:r>
        <w:rPr>
          <w:rFonts w:ascii="Georgia" w:cs="Georgia" w:eastAsia="Georgia" w:hAnsi="Georgia"/>
          <w:sz w:val="23"/>
          <w:szCs w:val="23"/>
        </w:rPr>
        <w:t xml:space="preserve">Consistency of ROIC across at least one full economic cycle, not just recent strong years.</w:t>
      </w:r>
    </w:p>
    <w:p>
      <w:pPr>
        <w:pStyle w:val="ListParagraph"/>
        <w:numPr>
          <w:ilvl w:val="0"/>
          <w:numId w:val="1"/>
        </w:numPr>
        <w:spacing w:after="100"/>
      </w:pPr>
      <w:r>
        <w:rPr>
          <w:rFonts w:ascii="Georgia" w:cs="Georgia" w:eastAsia="Georgia" w:hAnsi="Georgia"/>
          <w:sz w:val="23"/>
          <w:szCs w:val="23"/>
        </w:rPr>
        <w:t xml:space="preserve">How much of earnings the company is actually reinvesting, versus returning to shareholders, since a high ROIC only compounds value if capital keeps getting redeployed at that rate.</w:t>
      </w:r>
    </w:p>
    <w:p>
      <w:pPr>
        <w:pStyle w:val="ListParagraph"/>
        <w:numPr>
          <w:ilvl w:val="0"/>
          <w:numId w:val="1"/>
        </w:numPr>
        <w:spacing w:after="100"/>
      </w:pPr>
      <w:r>
        <w:rPr>
          <w:rFonts w:ascii="Georgia" w:cs="Georgia" w:eastAsia="Georgia" w:hAnsi="Georgia"/>
          <w:sz w:val="23"/>
          <w:szCs w:val="23"/>
        </w:rPr>
        <w:t xml:space="preserve">Whether ROIC is trending up, flat, or declining as the company scales, since some businesses see returns compress as they grow into a larger, more competitive footprint.</w:t>
      </w:r>
    </w:p>
    <w:p>
      <w:pPr>
        <w:pStyle w:val="Heading2"/>
        <w:spacing w:after="140" w:before="260"/>
      </w:pPr>
      <w:r>
        <w:rPr>
          <w:rFonts w:ascii="Georgia" w:cs="Georgia" w:eastAsia="Georgia" w:hAnsi="Georgia"/>
          <w:b/>
          <w:bCs/>
          <w:sz w:val="26"/>
          <w:szCs w:val="26"/>
        </w:rPr>
        <w:t xml:space="preserve">How to Evaluate Whether High ROIC Will Persist</w:t>
      </w:r>
    </w:p>
    <w:p>
      <w:pPr>
        <w:spacing w:after="200"/>
      </w:pPr>
      <w:r>
        <w:rPr>
          <w:rFonts w:ascii="Georgia" w:cs="Georgia" w:eastAsia="Georgia" w:hAnsi="Georgia"/>
          <w:sz w:val="23"/>
          <w:szCs w:val="23"/>
        </w:rPr>
        <w:t xml:space="preserve">The reinvestment math only matters if the high return is durable. A company that can identify a specific structural reason for its ROIC, a moat source that limits competition from bidding down its returns, is a better candidate for sustained compounding than one whose high ROIC has no clear explanation beyond a currently strong market.</w:t>
      </w:r>
    </w:p>
    <w:p>
      <w:pPr>
        <w:pStyle w:val="Heading2"/>
        <w:spacing w:after="140" w:before="260"/>
      </w:pPr>
      <w:r>
        <w:rPr>
          <w:rFonts w:ascii="Georgia" w:cs="Georgia" w:eastAsia="Georgia" w:hAnsi="Georgia"/>
          <w:b/>
          <w:bCs/>
          <w:sz w:val="26"/>
          <w:szCs w:val="26"/>
        </w:rPr>
        <w:t xml:space="preserve">The Common Mistake</w:t>
      </w:r>
    </w:p>
    <w:p>
      <w:pPr>
        <w:spacing w:after="200"/>
      </w:pPr>
      <w:r>
        <w:rPr>
          <w:rFonts w:ascii="Georgia" w:cs="Georgia" w:eastAsia="Georgia" w:hAnsi="Georgia"/>
          <w:sz w:val="23"/>
          <w:szCs w:val="23"/>
        </w:rPr>
        <w:t xml:space="preserve">Focusing on revenue growth rates while ignoring the ROIC those growth dollars are actually earning is one of the more common analytical shortcuts. Fast growth funded by capital earning a low or negative return can destroy shareholder value even while headline revenue numbers look impressive, which is why growth and ROIC need to be evaluated together, not as separate, independently positive signals.</w:t>
      </w:r>
    </w:p>
    <w:p>
      <w:pPr>
        <w:pStyle w:val="Heading2"/>
        <w:spacing w:after="140" w:before="260"/>
      </w:pPr>
      <w:r>
        <w:rPr>
          <w:rFonts w:ascii="Georgia" w:cs="Georgia" w:eastAsia="Georgia" w:hAnsi="Georgia"/>
          <w:b/>
          <w:bCs/>
          <w:sz w:val="26"/>
          <w:szCs w:val="26"/>
        </w:rPr>
        <w:t xml:space="preserve">Where MPLY's Approach Reflects This Reasoning</w:t>
      </w:r>
    </w:p>
    <w:p>
      <w:pPr>
        <w:spacing w:after="200"/>
      </w:pPr>
      <w:r>
        <w:rPr>
          <w:rFonts w:ascii="Georgia" w:cs="Georgia" w:eastAsia="Georgia" w:hAnsi="Georgia"/>
          <w:sz w:val="23"/>
          <w:szCs w:val="23"/>
        </w:rPr>
        <w:t xml:space="preserve">The Strategy Shares Monopoly ETF's (</w:t>
      </w:r>
      <w:r>
        <w:rPr>
          <w:rFonts w:ascii="Georgia" w:cs="Georgia" w:eastAsia="Georgia" w:hAnsi="Georgia"/>
          <w:b/>
          <w:bCs/>
          <w:sz w:val="23"/>
          <w:szCs w:val="23"/>
        </w:rPr>
        <w:t xml:space="preserve">MPLY</w:t>
      </w:r>
      <w:r>
        <w:rPr>
          <w:rFonts w:ascii="Georgia" w:cs="Georgia" w:eastAsia="Georgia" w:hAnsi="Georgia"/>
          <w:sz w:val="23"/>
          <w:szCs w:val="23"/>
        </w:rPr>
        <w:t xml:space="preserve">) stated focus on monopolistic or oligopolistic economic rents is directly related to sustained high ROIC: rents, in the economic sense, describe returns above what a normal competitive market would allow, the same underlying condition that produces a durable, high ROIC rather than a temporary one. The fund's process is, in effect, screening for the structural reasons a high ROIC might actually hold up.</w:t>
      </w:r>
    </w:p>
    <w:p>
      <w:pPr>
        <w:spacing w:after="200"/>
      </w:pPr>
      <w:r>
        <w:rPr>
          <w:rFonts w:ascii="Georgia" w:cs="Georgia" w:eastAsia="Georgia" w:hAnsi="Georgia"/>
          <w:sz w:val="23"/>
          <w:szCs w:val="23"/>
        </w:rPr>
        <w:t xml:space="preserve">MPLY's </w:t>
      </w:r>
      <w:hyperlink w:history="1" r:id="rIdtckyjizwdgscdbuik0hyc">
        <w:r>
          <w:rPr>
            <w:rFonts w:ascii="Georgia" w:cs="Georgia" w:eastAsia="Georgia" w:hAnsi="Georgia"/>
            <w:color w:val="1155CC"/>
            <w:sz w:val="23"/>
            <w:szCs w:val="23"/>
            <w:u w:val="single"/>
          </w:rPr>
          <w:t xml:space="preserve">official page</w:t>
        </w:r>
      </w:hyperlink>
      <w:r>
        <w:rPr>
          <w:rFonts w:ascii="Georgia" w:cs="Georgia" w:eastAsia="Georgia" w:hAnsi="Georgia"/>
          <w:sz w:val="23"/>
          <w:szCs w:val="23"/>
        </w:rPr>
        <w:t xml:space="preserve"> shows its current holdings and full investment approach.</w:t>
      </w:r>
    </w:p>
    <w:p>
      <w:pPr>
        <w:pStyle w:val="Heading2"/>
        <w:spacing w:after="140" w:before="260"/>
      </w:pPr>
      <w:r>
        <w:rPr>
          <w:rFonts w:ascii="Georgia" w:cs="Georgia" w:eastAsia="Georgia" w:hAnsi="Georgia"/>
          <w:b/>
          <w:bCs/>
          <w:sz w:val="26"/>
          <w:szCs w:val="26"/>
        </w:rPr>
        <w:t xml:space="preserve">Sources</w:t>
      </w:r>
    </w:p>
    <w:p>
      <w:pPr>
        <w:pStyle w:val="ListParagraph"/>
        <w:numPr>
          <w:ilvl w:val="0"/>
          <w:numId w:val="1"/>
        </w:numPr>
        <w:spacing w:after="100"/>
      </w:pPr>
      <w:hyperlink w:history="1" r:id="rIdhuhserp07x8vdlcwmi1qu">
        <w:r>
          <w:rPr>
            <w:rFonts w:ascii="Georgia" w:cs="Georgia" w:eastAsia="Georgia" w:hAnsi="Georgia"/>
            <w:color w:val="1155CC"/>
            <w:sz w:val="23"/>
            <w:szCs w:val="23"/>
            <w:u w:val="single"/>
          </w:rPr>
          <w:t xml:space="preserve">Strategy Shares Monopoly ETF official fund page (screening criteria)</w:t>
        </w:r>
      </w:hyperlink>
    </w:p>
    <w:p>
      <w:pPr>
        <w:spacing w:after="0" w:before="280"/>
      </w:pPr>
      <w:r>
        <w:rPr>
          <w:rFonts w:ascii="Georgia" w:cs="Georgia" w:eastAsia="Georgia" w:hAnsi="Georgia"/>
          <w:color w:val="1F4E78"/>
          <w:sz w:val="22"/>
          <w:szCs w:val="22"/>
        </w:rPr>
        <w:t xml:space="preserve">#ROIC #QualityInvesting #CompoundingReturns #Investing #Fundamentals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ckyjizwdgscdbuik0hyc" Type="http://schemas.openxmlformats.org/officeDocument/2006/relationships/hyperlink" Target="https://strategysharesetfs.com/mply/" TargetMode="External"/><Relationship Id="rIdhuhserp07x8vdlcwmi1qu" Type="http://schemas.openxmlformats.org/officeDocument/2006/relationships/hyperlink" Target="https://strategysharesetfs.com/mply/"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2026-09-23T11:26:50.104Z</dcterms:created>
  <dcterms:modified xsi:type="dcterms:W3CDTF">2026-09-23T11:26:50.104Z</dcterms:modified>
</cp:coreProperties>
</file>

<file path=docProps/custom.xml><?xml version="1.0" encoding="utf-8"?>
<Properties xmlns="http://schemas.openxmlformats.org/officeDocument/2006/custom-properties" xmlns:vt="http://schemas.openxmlformats.org/officeDocument/2006/docPropsVTypes"/>
</file>