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Free Cash Flow and Why Does It Matter</w:t>
      </w:r>
    </w:p>
    <w:p>
      <w:pPr>
        <w:spacing w:after="200"/>
      </w:pPr>
      <w:r>
        <w:rPr>
          <w:rFonts w:ascii="Georgia" w:cs="Georgia" w:eastAsia="Georgia" w:hAnsi="Georgia"/>
          <w:sz w:val="23"/>
          <w:szCs w:val="23"/>
        </w:rPr>
        <w:t xml:space="preserve">Free cash flow is the actual cash a business generates after covering the capital expenditures needed to maintain and grow its operations, the money genuinely available to pay down debt, return to shareholders, or reinvest at management's discretion. It's cash-based rather than accounting-based, which is precisely why it often tells a different, and arguably more honest, story than reported earnings.</w:t>
      </w:r>
    </w:p>
    <w:p>
      <w:pPr>
        <w:pStyle w:val="Heading2"/>
        <w:spacing w:after="140" w:before="260"/>
      </w:pPr>
      <w:r>
        <w:rPr>
          <w:rFonts w:ascii="Georgia" w:cs="Georgia" w:eastAsia="Georgia" w:hAnsi="Georgia"/>
          <w:b/>
          <w:bCs/>
          <w:sz w:val="26"/>
          <w:szCs w:val="26"/>
        </w:rPr>
        <w:t xml:space="preserve">The Formula</w:t>
      </w:r>
    </w:p>
    <w:p>
      <w:pPr>
        <w:spacing w:after="200"/>
      </w:pPr>
      <w:r>
        <w:rPr>
          <w:rFonts w:ascii="Georgia" w:cs="Georgia" w:eastAsia="Georgia" w:hAnsi="Georgia"/>
          <w:sz w:val="23"/>
          <w:szCs w:val="23"/>
        </w:rPr>
        <w:t xml:space="preserve">Free cash flow is typically calculated as operating cash flow minus capital expenditures. Operating cash flow starts from net income and adjusts for non-cash items, like depreciation and amortization, and changes in working capital, the cash tied up in or freed from inventory, receivables, and payables. Capital expenditures are then subtracted because that cash is required just to sustain and grow the business, not genuinely free for other uses.</w:t>
      </w:r>
    </w:p>
    <w:p>
      <w:pPr>
        <w:pStyle w:val="Heading2"/>
        <w:spacing w:after="140" w:before="260"/>
      </w:pPr>
      <w:r>
        <w:rPr>
          <w:rFonts w:ascii="Georgia" w:cs="Georgia" w:eastAsia="Georgia" w:hAnsi="Georgia"/>
          <w:b/>
          <w:bCs/>
          <w:sz w:val="26"/>
          <w:szCs w:val="26"/>
        </w:rPr>
        <w:t xml:space="preserve">Why Cash Differs From Reported Earnings</w:t>
      </w:r>
    </w:p>
    <w:p>
      <w:pPr>
        <w:spacing w:after="200"/>
      </w:pPr>
      <w:r>
        <w:rPr>
          <w:rFonts w:ascii="Georgia" w:cs="Georgia" w:eastAsia="Georgia" w:hAnsi="Georgia"/>
          <w:sz w:val="23"/>
          <w:szCs w:val="23"/>
        </w:rPr>
        <w:t xml:space="preserve">Net income includes non-cash charges like depreciation, and it can be affected by accounting choices, revenue recognition timing, and estimates that don't correspond to actual cash changing hands in a given period. A company can report solid net income while consuming cash if its receivables are growing faster than its earnings, or while capital expenditures are quietly consuming most of its operating cash flow. Free cash flow strips out those accounting effects and measures what actually happened to the company's cash position.</w:t>
      </w:r>
    </w:p>
    <w:p>
      <w:pPr>
        <w:pStyle w:val="Heading2"/>
        <w:spacing w:after="140" w:before="260"/>
      </w:pPr>
      <w:r>
        <w:rPr>
          <w:rFonts w:ascii="Georgia" w:cs="Georgia" w:eastAsia="Georgia" w:hAnsi="Georgia"/>
          <w:b/>
          <w:bCs/>
          <w:sz w:val="26"/>
          <w:szCs w:val="26"/>
        </w:rPr>
        <w:t xml:space="preserve">What a Growing Free Cash Flow Trend Signals</w:t>
      </w:r>
    </w:p>
    <w:p>
      <w:pPr>
        <w:spacing w:after="200"/>
      </w:pPr>
      <w:r>
        <w:rPr>
          <w:rFonts w:ascii="Georgia" w:cs="Georgia" w:eastAsia="Georgia" w:hAnsi="Georgia"/>
          <w:sz w:val="23"/>
          <w:szCs w:val="23"/>
        </w:rPr>
        <w:t xml:space="preserve">Consistent, growing free cash flow relative to revenue suggests a business that's becoming more efficient at converting sales into cash it can actually deploy, whether that's paying dividends, buying back stock, paying down debt, or funding further growth without needing external financing. It's also a harder number to manipulate through accounting choices than reported earnings, which is part of why it gets used as a cross-check against net income rather than a replacement for it.</w:t>
      </w:r>
    </w:p>
    <w:p>
      <w:pPr>
        <w:pStyle w:val="Heading2"/>
        <w:spacing w:after="140" w:before="260"/>
      </w:pPr>
      <w:r>
        <w:rPr>
          <w:rFonts w:ascii="Georgia" w:cs="Georgia" w:eastAsia="Georgia" w:hAnsi="Georgia"/>
          <w:b/>
          <w:bCs/>
          <w:sz w:val="26"/>
          <w:szCs w:val="26"/>
        </w:rPr>
        <w:t xml:space="preserve">The Limitation</w:t>
      </w:r>
    </w:p>
    <w:p>
      <w:pPr>
        <w:spacing w:after="200"/>
      </w:pPr>
      <w:r>
        <w:rPr>
          <w:rFonts w:ascii="Georgia" w:cs="Georgia" w:eastAsia="Georgia" w:hAnsi="Georgia"/>
          <w:sz w:val="23"/>
          <w:szCs w:val="23"/>
        </w:rPr>
        <w:t xml:space="preserve">Free cash flow can be volatile in businesses with lumpy capital expenditure cycles, a company investing heavily in a new factory or major infrastructure project can show weak free cash flow in the investment years and strong free cash flow once that spending tapers off, even though nothing about the underlying business quality changed. Looking at free cash flow trends over several years, rather than a single period, avoids mistaking a temporary investment cycle for a structural problem.</w:t>
      </w:r>
    </w:p>
    <w:p>
      <w:pPr>
        <w:pStyle w:val="Heading2"/>
        <w:spacing w:after="140" w:before="260"/>
      </w:pPr>
      <w:r>
        <w:rPr>
          <w:rFonts w:ascii="Georgia" w:cs="Georgia" w:eastAsia="Georgia" w:hAnsi="Georgia"/>
          <w:b/>
          <w:bCs/>
          <w:sz w:val="26"/>
          <w:szCs w:val="26"/>
        </w:rPr>
        <w:t xml:space="preserve">How MPLY's Screen Relates to Cash Generation</w:t>
      </w:r>
    </w:p>
    <w:p>
      <w:pPr>
        <w:spacing w:after="200"/>
      </w:pPr>
      <w:r>
        <w:rPr>
          <w:rFonts w:ascii="Georgia" w:cs="Georgia" w:eastAsia="Georgia" w:hAnsi="Georgia"/>
          <w:sz w:val="23"/>
          <w:szCs w:val="23"/>
        </w:rPr>
        <w:t xml:space="preserve">Free cash flow isn't named directly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but strong, durable cash generation is generally a downstream signal of the kind of pricing power and industry concentration the fund's process does name explicitly. A company with real structural advantages should show that strength in its cash flow statement, not just its income statement.</w:t>
      </w:r>
    </w:p>
    <w:p>
      <w:pPr>
        <w:spacing w:after="200"/>
      </w:pPr>
      <w:r>
        <w:rPr>
          <w:rFonts w:ascii="Georgia" w:cs="Georgia" w:eastAsia="Georgia" w:hAnsi="Georgia"/>
          <w:sz w:val="23"/>
          <w:szCs w:val="23"/>
        </w:rPr>
        <w:t xml:space="preserve">The fund's </w:t>
      </w:r>
      <w:hyperlink w:history="1" r:id="rIde6dt546nyqvtoow-drq4p">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details its full investment approach and current holdings.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l0fm2yozv7jl2484mh2gd">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#FreeCashFlow #QualityInvesting #CashFlow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6dt546nyqvtoow-drq4p" Type="http://schemas.openxmlformats.org/officeDocument/2006/relationships/hyperlink" Target="https://strategysharesetfs.com/mply/" TargetMode="External"/><Relationship Id="rIdl0fm2yozv7jl2484mh2gd"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2026-09-23T11:26:50.112Z</dcterms:created>
  <dcterms:modified xsi:type="dcterms:W3CDTF">2026-09-23T11:26:50.112Z</dcterms:modified>
</cp:coreProperties>
</file>

<file path=docProps/custom.xml><?xml version="1.0" encoding="utf-8"?>
<Properties xmlns="http://schemas.openxmlformats.org/officeDocument/2006/custom-properties" xmlns:vt="http://schemas.openxmlformats.org/officeDocument/2006/docPropsVTypes"/>
</file>