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1E2761"/>
          <w:sz w:val="36"/>
          <w:szCs w:val="36"/>
        </w:rPr>
        <w:t xml:space="preserve">Agents of Change: A Pluggable Pattern for Enterprise Modernization</w:t>
      </w:r>
    </w:p>
    <w:p>
      <w:pPr>
        <w:spacing w:after="320"/>
        <w:jc w:val="center"/>
      </w:pPr>
      <w:r>
        <w:rPr>
          <w:i/>
          <w:iCs/>
          <w:color w:val="7F7F7F"/>
          <w:sz w:val="20"/>
          <w:szCs w:val="20"/>
        </w:rPr>
        <w:t xml:space="preserve">Solutions Delivery Conference  ·  Theme: Agents of Change</w:t>
      </w:r>
    </w:p>
    <w:p>
      <w:pPr>
        <w:pBdr>
          <w:bottom w:val="single" w:color="2E75B6" w:sz="6" w:space="1"/>
        </w:pBdr>
        <w:spacing w:after="360" w:before="0"/>
      </w:pPr>
      <w:r>
        <w:t xml:space="preserve"/>
      </w:r>
    </w:p>
    <w:p>
      <w:pPr>
        <w:spacing w:after="200"/>
      </w:pPr>
      <w:r>
        <w:rPr>
          <w:b/>
          <w:bCs/>
          <w:color w:val="1E2761"/>
          <w:sz w:val="26"/>
          <w:szCs w:val="26"/>
        </w:rPr>
        <w:t xml:space="preserve">Abstract</w:t>
      </w:r>
    </w:p>
    <w:p>
      <w:pPr>
        <w:spacing w:after="320" w:line="360"/>
        <w:jc w:val="both"/>
      </w:pPr>
      <w:r>
        <w:rPr>
          <w:sz w:val="22"/>
          <w:szCs w:val="22"/>
        </w:rPr>
        <w:t xml:space="preserve">The most expensive change in enterprise IT is not a new platform, a reorg, or a strategic pivot — it’s modernizing the legacy applications the business still depends on, typically 12–24 months and over a million dollars per app of senior-engineer time spent on changes that are 95% mechanical. A team of specialized agents — a Leader, transform agents, cross-model reviewers, guardrails, and discovery — collaborate in a fixed orchestration core into which any migration plugs as configuration: Struts today, JSF and EJB tomorrow, database modernization and compliance scanning after that, with no changes to the core pipeline. The Leader Agent routes each file to the cheapest path that works — deterministic refactoring (OpenRewrite) for AST-shaped problems, LLM agents for semantic ones — while cross-model review (Claude writes, Nova reviews) verifies what self-review never could, and the 5% of files that escalate arrive with original source, transform, review verdicts, and applicable standards already attached. Outcomes on a typical 50K-line modernization: 70–90% cost reduction, 5–10x faster, and an audit trail with named-recipe or model-and-score provenance for every change. Attendees leave with a reusable orchestration pattern, a routing-decision framework that cuts AI token spend by 60–75%, a no-regression policy library, and a mental model for how AI agents become genuine agents of organizational change — not when they replace engineers, but when they free senior engineers from the mechanical work that consumes their careers. This talk is for solution architects and delivery leads building the next decade of enterprise AI platforms — the ones that compound rather than depreciate.</w:t>
      </w:r>
    </w:p>
    <w:p>
      <w:pPr>
        <w:spacing w:before="480"/>
        <w:jc w:val="center"/>
      </w:pPr>
      <w:r>
        <w:rPr>
          <w:i/>
          <w:iCs/>
          <w:color w:val="36454F"/>
          <w:sz w:val="18"/>
          <w:szCs w:val="18"/>
        </w:rPr>
        <w:t xml:space="preserve">FORGE  ·  Framework Orchestrated Rewrite &amp; Generation Engine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of Change: A Pluggable Pattern for Enterprise Modernization</dc:title>
  <dc:creator>FORGE Project</dc:creator>
  <cp:lastModifiedBy>Un-named</cp:lastModifiedBy>
  <cp:revision>1</cp:revision>
  <dcterms:created xsi:type="dcterms:W3CDTF">2026-05-08T18:05:25.874Z</dcterms:created>
  <dcterms:modified xsi:type="dcterms:W3CDTF">2026-05-08T18:05:25.874Z</dcterms:modified>
</cp:coreProperties>
</file>

<file path=docProps/custom.xml><?xml version="1.0" encoding="utf-8"?>
<Properties xmlns="http://schemas.openxmlformats.org/officeDocument/2006/custom-properties" xmlns:vt="http://schemas.openxmlformats.org/officeDocument/2006/docPropsVTypes"/>
</file>