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2761"/>
          <w:sz w:val="56"/>
          <w:szCs w:val="56"/>
        </w:rPr>
        <w:t xml:space="preserve">FORGE</w:t>
      </w:r>
    </w:p>
    <w:p>
      <w:pPr>
        <w:spacing w:after="80"/>
        <w:jc w:val="center"/>
      </w:pPr>
      <w:r>
        <w:rPr>
          <w:b/>
          <w:bCs/>
          <w:color w:val="36454F"/>
          <w:sz w:val="28"/>
          <w:szCs w:val="28"/>
        </w:rPr>
        <w:t xml:space="preserve">Framework Orchestrated Rewrite &amp; Generation Engine</w:t>
      </w:r>
    </w:p>
    <w:p>
      <w:pPr>
        <w:spacing w:after="320"/>
        <w:jc w:val="center"/>
      </w:pPr>
      <w:r>
        <w:rPr>
          <w:i/>
          <w:iCs/>
          <w:color w:val="36454F"/>
          <w:sz w:val="22"/>
          <w:szCs w:val="22"/>
        </w:rPr>
        <w:t xml:space="preserve">A Multi-Agent AI Platform for Enterprise Code Modernization</w:t>
      </w:r>
    </w:p>
    <w:p>
      <w:pPr>
        <w:pBdr>
          <w:bottom w:val="single" w:color="2E75B6" w:sz="6" w:space="1"/>
        </w:pBdr>
        <w:spacing w:after="240" w:before="120"/>
      </w:pPr>
      <w:r>
        <w:t xml:space="preserve"/>
      </w:r>
    </w:p>
    <w:p>
      <w:pPr>
        <w:pStyle w:val="Heading1"/>
        <w:spacing w:after="160" w:before="320"/>
      </w:pPr>
      <w:r>
        <w:t xml:space="preserve">Abstract</w:t>
      </w:r>
    </w:p>
    <w:p>
      <w:pPr>
        <w:spacing w:after="160" w:line="320"/>
        <w:jc w:val="both"/>
      </w:pPr>
      <w:r>
        <w:t xml:space="preserve">FORGE is a multi-agent AI platform for automating large-scale code modernization across any enterprise framework migration. Rather than being purpose-built for a single source-to-target pair, FORGE provides a fixed orchestration core — guardrails, a leader agent, transform agents, cross-model review agents, and post-checks — into which migration-specific transform agents are loaded at runtime via configuration. The same pipeline handles Java version upgrades, Spring upgrades, Struts elimination, JSF to Thymeleaf, EJB to Spring, Hibernate upgrades, SOAP to REST, jQuery to React, logging framework swaps, and any future migration a team chooses to plug in.</w:t>
      </w:r>
    </w:p>
    <w:p>
      <w:pPr>
        <w:spacing w:after="160" w:line="320"/>
        <w:jc w:val="both"/>
      </w:pPr>
      <w:r>
        <w:t xml:space="preserve">The platform is built on a </w:t>
      </w:r>
      <w:r>
        <w:rPr>
          <w:b/>
          <w:bCs/>
        </w:rPr>
        <w:t xml:space="preserve">dual-model architecture</w:t>
      </w:r>
      <w:r>
        <w:t xml:space="preserve">: transformation agents powered by </w:t>
      </w:r>
      <w:r>
        <w:rPr>
          <w:b/>
          <w:bCs/>
        </w:rPr>
        <w:t xml:space="preserve">Claude Sonnet 4.5</w:t>
      </w:r>
      <w:r>
        <w:t xml:space="preserve"> perform the rewrites, while independent review agents powered by </w:t>
      </w:r>
      <w:r>
        <w:rPr>
          <w:b/>
          <w:bCs/>
        </w:rPr>
        <w:t xml:space="preserve">Amazon Nova Pro</w:t>
      </w:r>
      <w:r>
        <w:t xml:space="preserve"> — a different model family with different blind spots — validate every change, providing genuine cross-model verification rather than a model reviewing itself. A Leader Agent orchestrates routing, retry-with-feedback (max 2 attempts), and escalation to a human review queue. Two Guardrails checkpoints enforce enterprise security, naming, PII, and no-regression policies before transformation begins and before any file is written to disk.</w:t>
      </w:r>
    </w:p>
    <w:p>
      <w:pPr>
        <w:spacing w:after="160" w:line="320"/>
        <w:jc w:val="both"/>
      </w:pPr>
      <w:r>
        <w:t xml:space="preserve">All agents are grounded by an </w:t>
      </w:r>
      <w:r>
        <w:rPr>
          <w:b/>
          <w:bCs/>
        </w:rPr>
        <w:t xml:space="preserve">AWS Bedrock RAG Knowledge Base</w:t>
      </w:r>
      <w:r>
        <w:t xml:space="preserve"> containing the organization’s coding standards, architecture decisions, and migration-specific rules — curated per agent, not shared globally. Adding a new migration type requires one new Python class and a configuration entry; the core pipeline never changes.</w:t>
      </w:r>
    </w:p>
    <w:p>
      <w:pPr>
        <w:spacing w:after="160" w:line="320"/>
        <w:jc w:val="both"/>
      </w:pPr>
      <w:r>
        <w:rPr>
          <w:b/>
          <w:bCs/>
        </w:rPr>
        <w:t xml:space="preserve">Outcomes (per migration type): </w:t>
      </w:r>
      <w:r>
        <w:t xml:space="preserve">approximately 80% of files auto-transform on the first pass, 15% succeed after AI-feedback retry, and only 5% require human review — each arriving with full context: original source, transformed output, review scores, model pair used, retry history, and guardrail verdicts. The result is a modernized, auditable codebase with a complete decision trail for every file.</w:t>
      </w:r>
    </w:p>
    <w:p>
      <w:pPr>
        <w:pBdr>
          <w:bottom w:val="single" w:color="2E75B6" w:sz="6" w:space="1"/>
        </w:pBdr>
        <w:spacing w:after="240" w:before="120"/>
      </w:pPr>
      <w:r>
        <w:t xml:space="preserve"/>
      </w:r>
    </w:p>
    <w:p>
      <w:pPr>
        <w:pStyle w:val="Heading1"/>
        <w:spacing w:after="160" w:before="320"/>
      </w:pPr>
      <w:r>
        <w:t xml:space="preserve">Cost &amp; Time Impact</w:t>
      </w:r>
    </w:p>
    <w:p>
      <w:pPr>
        <w:pStyle w:val="Heading2"/>
        <w:spacing w:after="160" w:before="320"/>
      </w:pPr>
      <w:r>
        <w:t xml:space="preserve">How much cheaper?</w:t>
      </w:r>
    </w:p>
    <w:p>
      <w:pPr>
        <w:spacing w:after="160" w:line="320"/>
        <w:jc w:val="both"/>
      </w:pPr>
      <w:r>
        <w:t xml:space="preserve">For any large enterprise modernization (50K+ LOC), regardless of source/target framework, manual developer effort dominates the cost. A typical 50K LOC modernization across three applications represents roughly 6 to 15 dev-years at fully-loaded rates — $1.1M to $2.7M. FORGE compresses the human effort to the 5% of files that escalate to manual review, bringing engineering cost down to roughly $55K to $145K. AWS infrastructure cost (Bedrock + OpenSearch Serverless) is in the $2K to $8K range and is effectively rounding error against the labor savings. Net cost reduction: 70% to 90% per migration. The economics improve further with each new migration type because the orchestration core is built once and amortized.</w:t>
      </w:r>
    </w:p>
    <w:p>
      <w:pPr>
        <w:pStyle w:val="Heading2"/>
        <w:spacing w:after="160" w:before="320"/>
      </w:pPr>
      <w:r>
        <w:t xml:space="preserve">How much quicker?</w:t>
      </w:r>
    </w:p>
    <w:p>
      <w:pPr>
        <w:spacing w:after="160" w:line="320"/>
        <w:jc w:val="both"/>
      </w:pPr>
      <w:r>
        <w:t xml:space="preserve">Manual modernization of 50K LOC typically runs 12 to 24 months with a 4 to 8 person team. FORGE compresses this to 6 to 12 weeks, dominated by the manual review queue and integration testing rather than transformation work itself — roughly 5x to 10x faster. More importantly, the timeline becomes predictable: Discovery and Risk Scoring estimate the manual queue size before any transformation begins, so commitments to stakeholders are bounded by data, not optimism.</w:t>
      </w:r>
    </w:p>
    <w:p>
      <w:pPr>
        <w:pBdr>
          <w:bottom w:val="single" w:color="2E75B6" w:sz="6" w:space="1"/>
        </w:pBdr>
        <w:spacing w:after="240" w:before="120"/>
      </w:pPr>
      <w:r>
        <w:t xml:space="preserve"/>
      </w:r>
    </w:p>
    <w:p>
      <w:pPr>
        <w:pStyle w:val="Heading1"/>
        <w:spacing w:after="160" w:before="320"/>
      </w:pPr>
      <w:r>
        <w:t xml:space="preserve">Why this Pattern?</w:t>
      </w:r>
    </w:p>
    <w:p>
      <w:pPr>
        <w:spacing w:after="160" w:line="320"/>
        <w:jc w:val="both"/>
      </w:pPr>
      <w:r>
        <w:t xml:space="preserve">The pattern matters precisely because it is framework-agnostic. Five properties make it the right architecture for enterprise modernization at scale:</w:t>
      </w:r>
    </w:p>
    <w:p>
      <w:pPr>
        <w:pStyle w:val="ListParagraph"/>
        <w:numPr>
          <w:ilvl w:val="0"/>
          <w:numId w:val="2"/>
        </w:numPr>
        <w:spacing w:after="80" w:line="300"/>
      </w:pPr>
      <w:r>
        <w:rPr>
          <w:b/>
          <w:bCs/>
        </w:rPr>
        <w:t xml:space="preserve">Specialization beats generalization. </w:t>
      </w:r>
      <w:r>
        <w:t xml:space="preserve">A focused agent with narrow tools outperforms a generalist LLM trying to hold an entire migration in context.</w:t>
      </w:r>
    </w:p>
    <w:p>
      <w:pPr>
        <w:pStyle w:val="ListParagraph"/>
        <w:numPr>
          <w:ilvl w:val="0"/>
          <w:numId w:val="2"/>
        </w:numPr>
        <w:spacing w:after="80" w:line="300"/>
      </w:pPr>
      <w:r>
        <w:rPr>
          <w:b/>
          <w:bCs/>
        </w:rPr>
        <w:t xml:space="preserve">Cross-model validation is real verification. </w:t>
      </w:r>
      <w:r>
        <w:t xml:space="preserve">Two different model families catching each other’s blind spots beats any single-model self-review.</w:t>
      </w:r>
    </w:p>
    <w:p>
      <w:pPr>
        <w:pStyle w:val="ListParagraph"/>
        <w:numPr>
          <w:ilvl w:val="0"/>
          <w:numId w:val="2"/>
        </w:numPr>
        <w:spacing w:after="80" w:line="300"/>
      </w:pPr>
      <w:r>
        <w:rPr>
          <w:b/>
          <w:bCs/>
        </w:rPr>
        <w:t xml:space="preserve">Guardrails are deterministic. </w:t>
      </w:r>
      <w:r>
        <w:t xml:space="preserve">Rule-based gates (secret scanning, naming, no-regression) cannot be talked out of blocking a bad file, and they apply identically regardless of what is being migrated.</w:t>
      </w:r>
    </w:p>
    <w:p>
      <w:pPr>
        <w:pStyle w:val="ListParagraph"/>
        <w:numPr>
          <w:ilvl w:val="0"/>
          <w:numId w:val="2"/>
        </w:numPr>
        <w:spacing w:after="80" w:line="300"/>
      </w:pPr>
      <w:r>
        <w:rPr>
          <w:b/>
          <w:bCs/>
        </w:rPr>
        <w:t xml:space="preserve">RAG grounds the AI in your enterprise. </w:t>
      </w:r>
      <w:r>
        <w:t xml:space="preserve">Your conventions, ADRs, and security policies are curated per agent. New migration type? Add new KB documents — the pattern does not change.</w:t>
      </w:r>
    </w:p>
    <w:p>
      <w:pPr>
        <w:pStyle w:val="ListParagraph"/>
        <w:numPr>
          <w:ilvl w:val="0"/>
          <w:numId w:val="2"/>
        </w:numPr>
        <w:spacing w:after="80" w:line="300"/>
      </w:pPr>
      <w:r>
        <w:rPr>
          <w:b/>
          <w:bCs/>
        </w:rPr>
        <w:t xml:space="preserve">Auditability is non-negotiable for enterprise. </w:t>
      </w:r>
      <w:r>
        <w:t xml:space="preserve">Every transformation in any migration carries the same audit trail: models used, scores, retries, verdicts.</w:t>
      </w:r>
    </w:p>
    <w:p>
      <w:r>
        <w:t xml:space="preserve"/>
      </w:r>
    </w:p>
    <w:p>
      <w:pPr>
        <w:spacing w:after="160" w:line="320"/>
        <w:jc w:val="both"/>
      </w:pPr>
      <w:r>
        <w:t xml:space="preserve">The pattern is essentially compiler design principles applied to LLMs — multiple passes, narrow contracts, verification between stages — and it generalizes to any structured transformation problem with verifiable outputs.</w:t>
      </w:r>
    </w:p>
    <w:p>
      <w:pPr>
        <w:pBdr>
          <w:bottom w:val="single" w:color="2E75B6" w:sz="6" w:space="1"/>
        </w:pBdr>
        <w:spacing w:after="240" w:before="120"/>
      </w:pPr>
      <w:r>
        <w:t xml:space="preserve"/>
      </w:r>
    </w:p>
    <w:p>
      <w:pPr>
        <w:pStyle w:val="Heading1"/>
        <w:spacing w:after="160" w:before="320"/>
      </w:pPr>
      <w:r>
        <w:t xml:space="preserve">Engineering Takeaways</w:t>
      </w:r>
    </w:p>
    <w:p>
      <w:pPr>
        <w:spacing w:after="160" w:line="320"/>
        <w:jc w:val="both"/>
      </w:pPr>
      <w:r>
        <w:t xml:space="preserve">The durable knowledge from delivering FORGE extends well beyond any single migration. Patterns and techniques that transfer to future agentic systems:</w:t>
      </w:r>
    </w:p>
    <w:p>
      <w:pPr>
        <w:pStyle w:val="ListParagraph"/>
        <w:numPr>
          <w:ilvl w:val="0"/>
          <w:numId w:val="2"/>
        </w:numPr>
        <w:spacing w:after="80" w:line="300"/>
      </w:pPr>
      <w:r>
        <w:rPr>
          <w:b/>
          <w:bCs/>
        </w:rPr>
        <w:t xml:space="preserve">Agent orchestration patterns. </w:t>
      </w:r>
      <w:r>
        <w:t xml:space="preserve">Leader/worker, retry-with-feedback-injection, state machines (PENDING → TRANSFORMING → REVIEWING → DONE/MANUAL). Distributed-systems thinking applied to LLMs.</w:t>
      </w:r>
    </w:p>
    <w:p>
      <w:pPr>
        <w:pStyle w:val="ListParagraph"/>
        <w:numPr>
          <w:ilvl w:val="0"/>
          <w:numId w:val="2"/>
        </w:numPr>
        <w:spacing w:after="80" w:line="300"/>
      </w:pPr>
      <w:r>
        <w:rPr>
          <w:b/>
          <w:bCs/>
        </w:rPr>
        <w:t xml:space="preserve">The @tool pattern. </w:t>
      </w:r>
      <w:r>
        <w:t xml:space="preserve">Agents calling deterministic functions (parsers, detectors, validators) instead of doing everything in-prompt. LLM as router and decision-maker, not as parser. The single most important technique to internalize.</w:t>
      </w:r>
    </w:p>
    <w:p>
      <w:pPr>
        <w:pStyle w:val="ListParagraph"/>
        <w:numPr>
          <w:ilvl w:val="0"/>
          <w:numId w:val="2"/>
        </w:numPr>
        <w:spacing w:after="80" w:line="300"/>
      </w:pPr>
      <w:r>
        <w:rPr>
          <w:b/>
          <w:bCs/>
        </w:rPr>
        <w:t xml:space="preserve">Pluggable architecture for AI systems. </w:t>
      </w:r>
      <w:r>
        <w:t xml:space="preserve">Fixed core plus swappable specialists, configured via YAML. A reusable template for any agentic platform.</w:t>
      </w:r>
    </w:p>
    <w:p>
      <w:pPr>
        <w:pStyle w:val="ListParagraph"/>
        <w:numPr>
          <w:ilvl w:val="0"/>
          <w:numId w:val="2"/>
        </w:numPr>
        <w:spacing w:after="80" w:line="300"/>
      </w:pPr>
      <w:r>
        <w:rPr>
          <w:b/>
          <w:bCs/>
        </w:rPr>
        <w:t xml:space="preserve">Cross-model validation as a verification primitive. </w:t>
      </w:r>
      <w:r>
        <w:t xml:space="preserve">Applicable to code review, content moderation, data extraction, document processing — anything with a verifiable output.</w:t>
      </w:r>
    </w:p>
    <w:p>
      <w:pPr>
        <w:pStyle w:val="ListParagraph"/>
        <w:numPr>
          <w:ilvl w:val="0"/>
          <w:numId w:val="2"/>
        </w:numPr>
        <w:spacing w:after="80" w:line="300"/>
      </w:pPr>
      <w:r>
        <w:rPr>
          <w:b/>
          <w:bCs/>
        </w:rPr>
        <w:t xml:space="preserve">RAG curation per agent, not shared globally. </w:t>
      </w:r>
      <w:r>
        <w:t xml:space="preserve">Most teams build one KB and let everyone query it. Per-agent curation produces dramatically better grounding.</w:t>
      </w:r>
    </w:p>
    <w:p>
      <w:pPr>
        <w:pStyle w:val="ListParagraph"/>
        <w:numPr>
          <w:ilvl w:val="0"/>
          <w:numId w:val="2"/>
        </w:numPr>
        <w:spacing w:after="80" w:line="300"/>
      </w:pPr>
      <w:r>
        <w:rPr>
          <w:b/>
          <w:bCs/>
        </w:rPr>
        <w:t xml:space="preserve">The 80/15/5 split as a design target. </w:t>
      </w:r>
      <w:r>
        <w:t xml:space="preserve">The real engineering job is making the manual 5% maximally productive — review portal with full context, not a list of failed files.</w:t>
      </w:r>
    </w:p>
    <w:p>
      <w:pPr>
        <w:pStyle w:val="ListParagraph"/>
        <w:numPr>
          <w:ilvl w:val="0"/>
          <w:numId w:val="2"/>
        </w:numPr>
        <w:spacing w:after="80" w:line="300"/>
      </w:pPr>
      <w:r>
        <w:rPr>
          <w:b/>
          <w:bCs/>
        </w:rPr>
        <w:t xml:space="preserve">Bedrock ecosystem fluency. </w:t>
      </w:r>
      <w:r>
        <w:t xml:space="preserve">Claude + Nova + Titan embeddings + OpenSearch Serverless + Strands Agents — the standard enterprise GenAI stack on AWS.</w:t>
      </w:r>
    </w:p>
    <w:p>
      <w:pPr>
        <w:pBdr>
          <w:bottom w:val="single" w:color="2E75B6" w:sz="6" w:space="1"/>
        </w:pBdr>
        <w:spacing w:after="240" w:before="120"/>
      </w:pPr>
      <w:r>
        <w:t xml:space="preserve"/>
      </w:r>
    </w:p>
    <w:p>
      <w:pPr>
        <w:pStyle w:val="Heading1"/>
        <w:spacing w:after="160" w:before="320"/>
      </w:pPr>
      <w:r>
        <w:t xml:space="preserve">Leverage in Future Projects</w:t>
      </w:r>
    </w:p>
    <w:p>
      <w:pPr>
        <w:spacing w:after="160" w:line="320"/>
        <w:jc w:val="both"/>
      </w:pPr>
      <w:r>
        <w:t xml:space="preserve">The pluggable architecture is the reuse story. The core pipeline is migration-agnostic infrastructure — built once, valuable forever. Future projects fall into two categories:</w:t>
      </w:r>
    </w:p>
    <w:p>
      <w:pPr>
        <w:pStyle w:val="Heading2"/>
        <w:spacing w:after="160" w:before="320"/>
      </w:pPr>
      <w:r>
        <w:t xml:space="preserve">Adjacent framework migrations</w:t>
      </w:r>
    </w:p>
    <w:p>
      <w:pPr>
        <w:spacing w:after="160" w:line="320"/>
        <w:jc w:val="both"/>
      </w:pPr>
      <w:r>
        <w:t xml:space="preserve">Already on the FORGE roadmap, requiring only new transform agents and KB content:</w:t>
      </w:r>
    </w:p>
    <w:p>
      <w:pPr>
        <w:pStyle w:val="ListParagraph"/>
        <w:numPr>
          <w:ilvl w:val="0"/>
          <w:numId w:val="2"/>
        </w:numPr>
        <w:spacing w:after="80" w:line="300"/>
      </w:pPr>
      <w:r>
        <w:t xml:space="preserve">JSF → Thymeleaf</w:t>
      </w:r>
    </w:p>
    <w:p>
      <w:pPr>
        <w:pStyle w:val="ListParagraph"/>
        <w:numPr>
          <w:ilvl w:val="0"/>
          <w:numId w:val="2"/>
        </w:numPr>
        <w:spacing w:after="80" w:line="300"/>
      </w:pPr>
      <w:r>
        <w:t xml:space="preserve">EJB → Spring @Service</w:t>
      </w:r>
    </w:p>
    <w:p>
      <w:pPr>
        <w:pStyle w:val="ListParagraph"/>
        <w:numPr>
          <w:ilvl w:val="0"/>
          <w:numId w:val="2"/>
        </w:numPr>
        <w:spacing w:after="80" w:line="300"/>
      </w:pPr>
      <w:r>
        <w:t xml:space="preserve">Hibernate 5 → 6 (Jakarta Persistence)</w:t>
      </w:r>
    </w:p>
    <w:p>
      <w:pPr>
        <w:pStyle w:val="ListParagraph"/>
        <w:numPr>
          <w:ilvl w:val="0"/>
          <w:numId w:val="2"/>
        </w:numPr>
        <w:spacing w:after="80" w:line="300"/>
      </w:pPr>
      <w:r>
        <w:t xml:space="preserve">SOAP → REST</w:t>
      </w:r>
    </w:p>
    <w:p>
      <w:pPr>
        <w:pStyle w:val="ListParagraph"/>
        <w:numPr>
          <w:ilvl w:val="0"/>
          <w:numId w:val="2"/>
        </w:numPr>
        <w:spacing w:after="80" w:line="300"/>
      </w:pPr>
      <w:r>
        <w:t xml:space="preserve">Log4j → SLF4J</w:t>
      </w:r>
    </w:p>
    <w:p>
      <w:pPr>
        <w:pStyle w:val="ListParagraph"/>
        <w:numPr>
          <w:ilvl w:val="0"/>
          <w:numId w:val="2"/>
        </w:numPr>
        <w:spacing w:after="80" w:line="300"/>
      </w:pPr>
      <w:r>
        <w:t xml:space="preserve">jQuery → React</w:t>
      </w:r>
    </w:p>
    <w:p>
      <w:pPr>
        <w:pStyle w:val="ListParagraph"/>
        <w:numPr>
          <w:ilvl w:val="0"/>
          <w:numId w:val="2"/>
        </w:numPr>
        <w:spacing w:after="80" w:line="300"/>
      </w:pPr>
      <w:r>
        <w:t xml:space="preserve">Team-written custom agents for any in-house pattern</w:t>
      </w:r>
    </w:p>
    <w:p>
      <w:pPr>
        <w:pStyle w:val="Heading2"/>
        <w:spacing w:after="160" w:before="320"/>
      </w:pPr>
      <w:r>
        <w:t xml:space="preserve">Beyond framework migration</w:t>
      </w:r>
    </w:p>
    <w:p>
      <w:pPr>
        <w:spacing w:after="160" w:line="320"/>
        <w:jc w:val="both"/>
      </w:pPr>
      <w:r>
        <w:t xml:space="preserve">The same pattern fits any structured transformation problem with verifiable outputs:</w:t>
      </w:r>
    </w:p>
    <w:p>
      <w:pPr>
        <w:pStyle w:val="ListParagraph"/>
        <w:numPr>
          <w:ilvl w:val="0"/>
          <w:numId w:val="2"/>
        </w:numPr>
        <w:spacing w:after="80" w:line="300"/>
      </w:pPr>
      <w:r>
        <w:rPr>
          <w:b/>
          <w:bCs/>
        </w:rPr>
        <w:t xml:space="preserve">Database modernization. </w:t>
      </w:r>
      <w:r>
        <w:t xml:space="preserve">Oracle PL/SQL → PostgreSQL plpgsql, on-prem Oracle → Aurora, Oracle → DynamoDB redesigns.</w:t>
      </w:r>
    </w:p>
    <w:p>
      <w:pPr>
        <w:pStyle w:val="ListParagraph"/>
        <w:numPr>
          <w:ilvl w:val="0"/>
          <w:numId w:val="2"/>
        </w:numPr>
        <w:spacing w:after="80" w:line="300"/>
      </w:pPr>
      <w:r>
        <w:rPr>
          <w:b/>
          <w:bCs/>
        </w:rPr>
        <w:t xml:space="preserve">Cloud migration. </w:t>
      </w:r>
      <w:r>
        <w:t xml:space="preserve">On-prem config → AWS-native (IAM, Secrets Manager, Parameter Store), VM workloads → containerized.</w:t>
      </w:r>
    </w:p>
    <w:p>
      <w:pPr>
        <w:pStyle w:val="ListParagraph"/>
        <w:numPr>
          <w:ilvl w:val="0"/>
          <w:numId w:val="2"/>
        </w:numPr>
        <w:spacing w:after="80" w:line="300"/>
      </w:pPr>
      <w:r>
        <w:rPr>
          <w:b/>
          <w:bCs/>
        </w:rPr>
        <w:t xml:space="preserve">API modernization. </w:t>
      </w:r>
      <w:r>
        <w:t xml:space="preserve">REST → GraphQL, v1 → v2 contract migration, gRPC adoption.</w:t>
      </w:r>
    </w:p>
    <w:p>
      <w:pPr>
        <w:pStyle w:val="ListParagraph"/>
        <w:numPr>
          <w:ilvl w:val="0"/>
          <w:numId w:val="2"/>
        </w:numPr>
        <w:spacing w:after="80" w:line="300"/>
      </w:pPr>
      <w:r>
        <w:rPr>
          <w:b/>
          <w:bCs/>
        </w:rPr>
        <w:t xml:space="preserve">Language migration. </w:t>
      </w:r>
      <w:r>
        <w:t xml:space="preserve">Java → Kotlin, JavaScript → TypeScript, Python 2 → 3 holdouts.</w:t>
      </w:r>
    </w:p>
    <w:p>
      <w:pPr>
        <w:pStyle w:val="ListParagraph"/>
        <w:numPr>
          <w:ilvl w:val="0"/>
          <w:numId w:val="2"/>
        </w:numPr>
        <w:spacing w:after="80" w:line="300"/>
      </w:pPr>
      <w:r>
        <w:rPr>
          <w:b/>
          <w:bCs/>
        </w:rPr>
        <w:t xml:space="preserve">Frontend modernization. </w:t>
      </w:r>
      <w:r>
        <w:t xml:space="preserve">AngularJS → Angular/React, server-rendered → SPA.</w:t>
      </w:r>
    </w:p>
    <w:p>
      <w:pPr>
        <w:pStyle w:val="ListParagraph"/>
        <w:numPr>
          <w:ilvl w:val="0"/>
          <w:numId w:val="2"/>
        </w:numPr>
        <w:spacing w:after="80" w:line="300"/>
      </w:pPr>
      <w:r>
        <w:rPr>
          <w:b/>
          <w:bCs/>
        </w:rPr>
        <w:t xml:space="preserve">Compliance scanning. </w:t>
      </w:r>
      <w:r>
        <w:t xml:space="preserve">Same guardrails pattern for OWASP, PCI, HIPAA, SOC2 across an entire code estate.</w:t>
      </w:r>
    </w:p>
    <w:p>
      <w:pPr>
        <w:pStyle w:val="ListParagraph"/>
        <w:numPr>
          <w:ilvl w:val="0"/>
          <w:numId w:val="2"/>
        </w:numPr>
        <w:spacing w:after="80" w:line="300"/>
      </w:pPr>
      <w:r>
        <w:rPr>
          <w:b/>
          <w:bCs/>
        </w:rPr>
        <w:t xml:space="preserve">Test generation as a product. </w:t>
      </w:r>
      <w:r>
        <w:t xml:space="preserve">Point it at any codebase, generate the test suite it should have had.</w:t>
      </w:r>
    </w:p>
    <w:p>
      <w:pPr>
        <w:pStyle w:val="ListParagraph"/>
        <w:numPr>
          <w:ilvl w:val="0"/>
          <w:numId w:val="2"/>
        </w:numPr>
        <w:spacing w:after="80" w:line="300"/>
      </w:pPr>
      <w:r>
        <w:rPr>
          <w:b/>
          <w:bCs/>
        </w:rPr>
        <w:t xml:space="preserve">Documentation generation. </w:t>
      </w:r>
      <w:r>
        <w:t xml:space="preserve">Agents that read code and produce architecture docs grounded in your standards.</w:t>
      </w:r>
    </w:p>
    <w:p>
      <w:pPr>
        <w:pStyle w:val="ListParagraph"/>
        <w:numPr>
          <w:ilvl w:val="0"/>
          <w:numId w:val="2"/>
        </w:numPr>
        <w:spacing w:after="80" w:line="300"/>
      </w:pPr>
      <w:r>
        <w:rPr>
          <w:b/>
          <w:bCs/>
        </w:rPr>
        <w:t xml:space="preserve">Data pipeline migration. </w:t>
      </w:r>
      <w:r>
        <w:t xml:space="preserve">Legacy ETL → modern (Airflow, Glue), stored procedures → dbt models.</w:t>
      </w:r>
    </w:p>
    <w:p>
      <w:pPr>
        <w:pStyle w:val="ListParagraph"/>
        <w:numPr>
          <w:ilvl w:val="0"/>
          <w:numId w:val="2"/>
        </w:numPr>
        <w:spacing w:after="80" w:line="300"/>
      </w:pPr>
      <w:r>
        <w:rPr>
          <w:b/>
          <w:bCs/>
        </w:rPr>
        <w:t xml:space="preserve">Infrastructure as Code adoption. </w:t>
      </w:r>
      <w:r>
        <w:t xml:space="preserve">Manual AWS console resources → Terraform/CDK with your conventions.</w:t>
      </w:r>
    </w:p>
    <w:p>
      <w:r>
        <w:t xml:space="preserve"/>
      </w:r>
    </w:p>
    <w:p>
      <w:pPr>
        <w:spacing w:after="160" w:line="320"/>
        <w:jc w:val="both"/>
      </w:pPr>
      <w:r>
        <w:rPr>
          <w:b/>
          <w:bCs/>
        </w:rPr>
        <w:t xml:space="preserve">The mental model to internalize: </w:t>
      </w:r>
      <w:r>
        <w:rPr>
          <w:i/>
          <w:iCs/>
        </w:rPr>
        <w:t xml:space="preserve">any structured transformation problem with verifiable outputs is a candidate for this pattern.</w:t>
      </w:r>
      <w:r>
        <w:t xml:space="preserve"> Code migration is the obvious case, but it is far from the only one. Once the core platform is battle-tested on the first migration, every subsequent migration becomes: write the transform agents, write the review checks, curate the RAG, ship. Months become weeks.</w:t>
      </w:r>
    </w:p>
    <w:p>
      <w:pPr>
        <w:pBdr>
          <w:bottom w:val="single" w:color="2E75B6" w:sz="6" w:space="1"/>
        </w:pBdr>
        <w:spacing w:after="240" w:before="120"/>
      </w:pPr>
      <w:r>
        <w:t xml:space="preserve"/>
      </w:r>
    </w:p>
    <w:p>
      <w:pPr>
        <w:spacing w:before="240"/>
        <w:jc w:val="center"/>
      </w:pPr>
      <w:r>
        <w:rPr>
          <w:i/>
          <w:iCs/>
          <w:color w:val="36454F"/>
          <w:sz w:val="18"/>
          <w:szCs w:val="18"/>
        </w:rPr>
        <w:t xml:space="preserve">FORGE  ·  15 Agents  ·  Claude Sonnet 4.5  ·  Amazon Nova Pro  ·  AWS Bedrock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 Project Abstract</dc:title>
  <dc:creator>FORGE Project</dc:creator>
  <cp:lastModifiedBy>Un-named</cp:lastModifiedBy>
  <cp:revision>1</cp:revision>
  <dcterms:created xsi:type="dcterms:W3CDTF">2026-05-07T17:37:42.171Z</dcterms:created>
  <dcterms:modified xsi:type="dcterms:W3CDTF">2026-05-07T17:37:42.172Z</dcterms:modified>
</cp:coreProperties>
</file>

<file path=docProps/custom.xml><?xml version="1.0" encoding="utf-8"?>
<Properties xmlns="http://schemas.openxmlformats.org/officeDocument/2006/custom-properties" xmlns:vt="http://schemas.openxmlformats.org/officeDocument/2006/docPropsVTypes"/>
</file>