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217B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全球共同发展线上平台知识库</w:t>
      </w:r>
    </w:p>
    <w:p w14:paraId="1F9368AE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一、平台基础概述</w:t>
      </w:r>
      <w:bookmarkEnd w:id="0"/>
    </w:p>
    <w:p w14:paraId="05014DA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平台定位</w:t>
      </w:r>
      <w:bookmarkEnd w:id="1"/>
    </w:p>
    <w:p w14:paraId="576BE2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共同发展线上平台是面向全球、专注于服务全球项目对接与资源配置的产业互联网平台。平台采用轻量化聚合模式，对标高德打车运营逻辑：高德打车不自持车辆，仅聚合全品类出行运力；本平台不承接、不落地具体项目，核心是整合聚合全球优质产业资源，为各类用户提供多元化资源选择，打通全球产业资源流通与对接通道。</w:t>
      </w:r>
    </w:p>
    <w:p w14:paraId="5995889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全球化适配能力</w:t>
      </w:r>
      <w:bookmarkEnd w:id="2"/>
    </w:p>
    <w:p w14:paraId="34A61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适配全球化服务场景，平台搭建双向循环服务体系，涵盖境内内循环、境外外循环双区域服务模式，可满足国内外各类项目、企业的资源对接需求。同时搭载多语言服务功能，直接对接科大讯飞技术支持，目前部分功能组件处于优化迭代阶段，全面保障全球不同地区用户的使用便捷性。</w:t>
      </w:r>
    </w:p>
    <w:p w14:paraId="713DBF7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二、核心功能：千企千面、万人万面</w:t>
      </w:r>
      <w:bookmarkEnd w:id="3"/>
    </w:p>
    <w:p w14:paraId="38BF5C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平台核心业务区搭载智能个性化界面系统，依托大数据智能匹配算法，实现</w:t>
      </w:r>
      <w:r>
        <w:rPr>
          <w:rFonts w:ascii="Arial" w:hAnsi="Arial" w:eastAsia="等线" w:cs="Arial"/>
          <w:b/>
          <w:sz w:val="22"/>
        </w:rPr>
        <w:t>千企千面、万人万面</w:t>
      </w:r>
      <w:r>
        <w:rPr>
          <w:rFonts w:ascii="Arial" w:hAnsi="Arial" w:eastAsia="等线" w:cs="Arial"/>
          <w:sz w:val="22"/>
        </w:rPr>
        <w:t>的定制化展示效果，彻底摒弃冗余信息，大幅提升用户操作与资源筛选效率。</w:t>
      </w:r>
    </w:p>
    <w:p w14:paraId="5AE1176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千企千面（企业维度）</w:t>
      </w:r>
      <w:bookmarkEnd w:id="4"/>
    </w:p>
    <w:p w14:paraId="7C154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不同行业企业实现精准内容适配。平台可根据企业所属行业属性，智能筛选、留存对应行业的资讯、项目、资源内容。物流企业仅展示物流领域相关资源与项目，法律企业仅展示法务服务、行业合规等相关内容，企业完成个性化设置保存后，平台首页将精准呈现专属行业内容，实现行业专属定制服务。</w:t>
      </w:r>
    </w:p>
    <w:p w14:paraId="54C871C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万人万面（人员维度）</w:t>
      </w:r>
      <w:bookmarkEnd w:id="5"/>
    </w:p>
    <w:p w14:paraId="425EA3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企业内部组织架构与岗位角色差异，针对企业财务、法务、项目运营等不同岗位人员，定制专属操作界面与内容模块。各岗位用户仅可查看、使用自身工作相关的功能与资源，界面无无关冗余信息，精准匹配岗位工作需求，最大化提升企业内部工作与资源对接效率。</w:t>
      </w:r>
    </w:p>
    <w:p w14:paraId="540545E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三、全产业覆盖体系</w:t>
      </w:r>
      <w:bookmarkEnd w:id="6"/>
    </w:p>
    <w:p w14:paraId="4A7FFB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平台立足全球化服务定位，实现第一、二、三产业全领域项目与资源覆盖，品类划分严格参照国家国民经济分类标准，同时贴合全球通用行业惯例，覆盖范围全面、分类规范专业。</w:t>
      </w:r>
    </w:p>
    <w:p w14:paraId="649D249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第一产业</w:t>
      </w:r>
      <w:bookmarkEnd w:id="7"/>
    </w:p>
    <w:p w14:paraId="2204A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涵盖农林牧渔传统产业，同时包含山水林田湖草沙一体化生态治理相关产业项目与资源，兼顾基础农业与生态治理领域的资源对接需求。</w:t>
      </w:r>
    </w:p>
    <w:p w14:paraId="76AB271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第二产业</w:t>
      </w:r>
      <w:bookmarkEnd w:id="8"/>
    </w:p>
    <w:p w14:paraId="083AF9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覆盖电力、石油化工、交通运输、市政工程等核心工业、基建领域，聚焦实体经济与基础设施建设类项目、企业资源。</w:t>
      </w:r>
    </w:p>
    <w:p w14:paraId="0120430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第三产业</w:t>
      </w:r>
      <w:bookmarkEnd w:id="9"/>
    </w:p>
    <w:p w14:paraId="0DE61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包含安保服务、房地产、会展服务等现代服务业，全面覆盖生产性、生活性服务业资源，构建全维度产业服务体系。</w:t>
      </w:r>
    </w:p>
    <w:p w14:paraId="7E1B74E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四、产业链资源配置能力（光伏品类示例）</w:t>
      </w:r>
      <w:bookmarkEnd w:id="10"/>
    </w:p>
    <w:p w14:paraId="606A86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平台围绕各产业品类，依托全产业链逻辑布局资源，以上中下游全链条维度聚合全球供给能力，以光伏品类为例，可精准匹配海外大型项目合作需求。</w:t>
      </w:r>
    </w:p>
    <w:p w14:paraId="017994D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4.1 精准项目匹配优势</w:t>
      </w:r>
      <w:bookmarkEnd w:id="11"/>
    </w:p>
    <w:p w14:paraId="2ECDF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海外大型项目（如印尼国家电力公司海上光伏项目），平台可根据项目地域、领域、类型，精准筛选具备对应服务经验的企业。以中电建华东勘测设计院为例，企业拥有印尼海上光伏项目经典服务案例，熟悉当地地理环境、项目标准与实操流程，具备成熟的落地经验。相较于无本地项目经验的企业，该类企业服务起点更高，无需从零适配项目需求，在联合体投标、EPC总包等各类合作模式中均具备显著竞争优势。</w:t>
      </w:r>
    </w:p>
    <w:p w14:paraId="660CF4E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4.2 企业全景履约画像体系</w:t>
      </w:r>
      <w:bookmarkEnd w:id="12"/>
    </w:p>
    <w:p w14:paraId="49C7AE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打破单一官网信息局限，多维度整合权威公开数据，构建企业全景式履约能力画像，杜绝企业自主宣传的信息偏差，保障合作信息真实可信，无需用户跨平台检索核验。核心信息来源包含三大维度：一是公共资源平台资质信息，核验企业工程承揽、项目运营等必备资质；二是国家知识产权局专利信息，直观展现企业技术研发与创新能力；三是企查查、天眼查工商征信信息，核查企业经营状态、信用状况等核心履约指标，全方位呈现企业综合实力。</w:t>
      </w:r>
    </w:p>
    <w:p w14:paraId="406BA4A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五、全链条生态服务体系</w:t>
      </w:r>
      <w:bookmarkEnd w:id="13"/>
    </w:p>
    <w:p w14:paraId="1D64C9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不仅完成产业链上中下游资源匹配，更搭建完善的配套生态服务体系，为项目全生命周期落地提供全方位保障。海外出海项目、全球合作项目除核心产业资源外，还需智库评估、金融保险、法务合规等配套支撑，平台可实现生态服务资源精准匹配。</w:t>
      </w:r>
    </w:p>
    <w:p w14:paraId="3D4470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海外光伏项目法务服务为例：印尼海上光伏项目落地过程中，平台可精准检索出具备本地光伏项目服务经验的律师。该类律师既熟知印尼当地法律法规、政策要求，又精通光伏行业专业知识与项目实操难点，可直接适配项目合规、风险规避、合同审核等需求，大幅降低项目试错成本、沟通成本与隐性运营成本，为全球项目落地提供高效、专业的生态配套支撑。</w:t>
      </w:r>
    </w:p>
    <w:p w14:paraId="6047867A">
      <w:pPr>
        <w:spacing w:before="120" w:after="120" w:line="288" w:lineRule="auto"/>
        <w:ind w:left="0"/>
        <w:jc w:val="left"/>
      </w:pP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123E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D9D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3CB0E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1730</Words>
  <Characters>1751</Characters>
  <TotalTime>0</TotalTime>
  <ScaleCrop>false</ScaleCrop>
  <LinksUpToDate>false</LinksUpToDate>
  <CharactersWithSpaces>1762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2026-05-25T07:01:00Z</dcterms:created>
  <dc:creator>Apache POI</dc:creator>
  <cp:lastModifiedBy>王败笑</cp:lastModifiedBy>
  <dcterms:modified xsi:type="dcterms:W3CDTF">2026-05-25T07:01:25Z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{"Label":"1","ContentProducer":"001191110102MACQD9K64010000","ProduceID":"7643720919856909522","ReservedCode1":"","ContentPropagator":"","PropagateID":"","ReservedCode2":""}</vt:lpwstr>
  </property>
  <property fmtid="{D5CDD505-2E9C-101B-9397-08002B2CF9AE}" pid="3" name="KSOTemplateDocerSaveRecord">
    <vt:lpwstr>eyJoZGlkIjoiN2VkMjg5ZTU5YWNhMTEwOWI3ZjhiYmM1MTQyMmZlYTQiLCJ1c2VySWQiOiI4Nzc5MjEyODEifQ==</vt:lpwstr>
  </property>
  <property fmtid="{D5CDD505-2E9C-101B-9397-08002B2CF9AE}" pid="4" name="KSOProductBuildVer">
    <vt:lpwstr>2052-12.1.0.26375</vt:lpwstr>
  </property>
  <property fmtid="{D5CDD505-2E9C-101B-9397-08002B2CF9AE}" pid="5" name="ICV">
    <vt:lpwstr>9D2CBC2AC96D4997B3240717D0F74FB9_12</vt:lpwstr>
  </property>
</Properties>
</file>