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6D808E">
      <w:pPr>
        <w:spacing w:before="480" w:after="480" w:line="288" w:lineRule="auto"/>
        <w:ind w:left="0"/>
      </w:pPr>
      <w:bookmarkStart w:id="18" w:name="_GoBack"/>
      <w:bookmarkEnd w:id="18"/>
      <w:r>
        <w:rPr>
          <w:rFonts w:ascii="Arial" w:hAnsi="Arial" w:eastAsia="等线" w:cs="Arial"/>
          <w:b/>
          <w:sz w:val="52"/>
        </w:rPr>
        <w:t>全球发展线上平台场景案例知识库（电力行业-光伏赛道）</w:t>
      </w:r>
    </w:p>
    <w:p w14:paraId="5BC37708">
      <w:pPr>
        <w:spacing w:before="320" w:after="120" w:line="288" w:lineRule="auto"/>
        <w:ind w:left="0"/>
        <w:jc w:val="left"/>
        <w:outlineLvl w:val="1"/>
      </w:pPr>
      <w:bookmarkStart w:id="0" w:name="heading_0"/>
      <w:r>
        <w:rPr>
          <w:rFonts w:ascii="Arial" w:hAnsi="Arial" w:eastAsia="等线" w:cs="Arial"/>
          <w:b/>
          <w:sz w:val="32"/>
        </w:rPr>
        <w:t>一、知识库基础信息</w:t>
      </w:r>
      <w:bookmarkEnd w:id="0"/>
    </w:p>
    <w:p w14:paraId="083F83C4">
      <w:pPr>
        <w:spacing w:before="120" w:after="120" w:line="288" w:lineRule="auto"/>
        <w:ind w:left="0"/>
        <w:jc w:val="left"/>
      </w:pPr>
      <w:r>
        <w:rPr>
          <w:rFonts w:ascii="Arial" w:hAnsi="Arial" w:eastAsia="等线" w:cs="Arial"/>
          <w:b/>
          <w:sz w:val="22"/>
        </w:rPr>
        <w:t>平台名称</w:t>
      </w:r>
      <w:r>
        <w:rPr>
          <w:rFonts w:ascii="Arial" w:hAnsi="Arial" w:eastAsia="等线" w:cs="Arial"/>
          <w:sz w:val="22"/>
        </w:rPr>
        <w:t>：全球发展线上平台</w:t>
      </w:r>
    </w:p>
    <w:p w14:paraId="7E8F3812">
      <w:pPr>
        <w:spacing w:before="120" w:after="120" w:line="288" w:lineRule="auto"/>
        <w:ind w:left="0"/>
        <w:jc w:val="left"/>
      </w:pPr>
      <w:r>
        <w:rPr>
          <w:rFonts w:ascii="Arial" w:hAnsi="Arial" w:eastAsia="等线" w:cs="Arial"/>
          <w:b/>
          <w:sz w:val="22"/>
        </w:rPr>
        <w:t>适用行业</w:t>
      </w:r>
      <w:r>
        <w:rPr>
          <w:rFonts w:ascii="Arial" w:hAnsi="Arial" w:eastAsia="等线" w:cs="Arial"/>
          <w:sz w:val="22"/>
        </w:rPr>
        <w:t>：电力行业 - 光伏赛道（含跨境项目全流程）</w:t>
      </w:r>
    </w:p>
    <w:p w14:paraId="6DCD3EBA">
      <w:pPr>
        <w:spacing w:before="120" w:after="120" w:line="288" w:lineRule="auto"/>
        <w:ind w:left="0"/>
        <w:jc w:val="left"/>
      </w:pPr>
      <w:r>
        <w:rPr>
          <w:rFonts w:ascii="Arial" w:hAnsi="Arial" w:eastAsia="等线" w:cs="Arial"/>
          <w:b/>
          <w:sz w:val="22"/>
        </w:rPr>
        <w:t>核心价值</w:t>
      </w:r>
      <w:r>
        <w:rPr>
          <w:rFonts w:ascii="Arial" w:hAnsi="Arial" w:eastAsia="等线" w:cs="Arial"/>
          <w:sz w:val="22"/>
        </w:rPr>
        <w:t>：覆盖「需求寻源、供应寻源、生态配套」全链路，实现跨国光伏项目精准匹配、高效对接与合规落地</w:t>
      </w:r>
    </w:p>
    <w:p w14:paraId="178BFD42">
      <w:pPr>
        <w:spacing w:before="120" w:after="120" w:line="288" w:lineRule="auto"/>
        <w:ind w:left="0"/>
        <w:jc w:val="left"/>
      </w:pPr>
      <w:r>
        <w:rPr>
          <w:rFonts w:ascii="Arial" w:hAnsi="Arial" w:eastAsia="等线" w:cs="Arial"/>
          <w:b/>
          <w:sz w:val="22"/>
        </w:rPr>
        <w:t>目标用户</w:t>
      </w:r>
      <w:r>
        <w:rPr>
          <w:rFonts w:ascii="Arial" w:hAnsi="Arial" w:eastAsia="等线" w:cs="Arial"/>
          <w:sz w:val="22"/>
        </w:rPr>
        <w:t>：能源国企、地方电力公司、工程咨询机构、法律服务机构等</w:t>
      </w:r>
    </w:p>
    <w:p w14:paraId="4E2284F0">
      <w:pPr>
        <w:spacing w:before="320" w:after="120" w:line="288" w:lineRule="auto"/>
        <w:ind w:left="0"/>
        <w:jc w:val="left"/>
        <w:outlineLvl w:val="1"/>
      </w:pPr>
      <w:bookmarkStart w:id="1" w:name="heading_1"/>
      <w:r>
        <w:rPr>
          <w:rFonts w:ascii="Arial" w:hAnsi="Arial" w:eastAsia="等线" w:cs="Arial"/>
          <w:b/>
          <w:sz w:val="32"/>
        </w:rPr>
        <w:t>二、场景1：供应寻源（印尼国家电力公司视角）</w:t>
      </w:r>
      <w:bookmarkEnd w:id="1"/>
    </w:p>
    <w:p w14:paraId="1F3F7A8E">
      <w:pPr>
        <w:spacing w:before="300" w:after="120" w:line="288" w:lineRule="auto"/>
        <w:ind w:left="0"/>
        <w:jc w:val="left"/>
        <w:outlineLvl w:val="2"/>
      </w:pPr>
      <w:bookmarkStart w:id="2" w:name="heading_2"/>
      <w:r>
        <w:rPr>
          <w:rFonts w:ascii="Arial" w:hAnsi="Arial" w:eastAsia="等线" w:cs="Arial"/>
          <w:b/>
          <w:sz w:val="30"/>
        </w:rPr>
        <w:t>1. 业务背景</w:t>
      </w:r>
      <w:bookmarkEnd w:id="2"/>
    </w:p>
    <w:p w14:paraId="115195ED">
      <w:pPr>
        <w:spacing w:before="120" w:after="120" w:line="288" w:lineRule="auto"/>
        <w:ind w:left="0"/>
        <w:jc w:val="left"/>
      </w:pPr>
      <w:r>
        <w:rPr>
          <w:rFonts w:ascii="Arial" w:hAnsi="Arial" w:eastAsia="等线" w:cs="Arial"/>
          <w:sz w:val="22"/>
        </w:rPr>
        <w:t>印尼国家电力公司需寻找具备印尼本土光伏项目经验的咨询服务商，为光伏项目提供前期规划、勘测设计等专业支撑服务，择优匹配靠谱的海外项目合作方。</w:t>
      </w:r>
    </w:p>
    <w:p w14:paraId="70332DE7">
      <w:pPr>
        <w:spacing w:before="300" w:after="120" w:line="288" w:lineRule="auto"/>
        <w:ind w:left="0"/>
        <w:jc w:val="left"/>
        <w:outlineLvl w:val="2"/>
      </w:pPr>
      <w:bookmarkStart w:id="3" w:name="heading_3"/>
      <w:r>
        <w:rPr>
          <w:rFonts w:ascii="Arial" w:hAnsi="Arial" w:eastAsia="等线" w:cs="Arial"/>
          <w:b/>
          <w:sz w:val="30"/>
        </w:rPr>
        <w:t>2. 操作流程</w:t>
      </w:r>
      <w:bookmarkEnd w:id="3"/>
    </w:p>
    <w:p w14:paraId="00884A2C">
      <w:pPr>
        <w:spacing w:before="120" w:after="120" w:line="288" w:lineRule="auto"/>
        <w:ind w:left="0"/>
        <w:jc w:val="left"/>
      </w:pPr>
      <w:r>
        <w:rPr>
          <w:rFonts w:ascii="Arial" w:hAnsi="Arial" w:eastAsia="等线" w:cs="Arial"/>
          <w:b/>
          <w:sz w:val="22"/>
        </w:rPr>
        <w:t>（1）登录平台并进入对应频道</w:t>
      </w:r>
    </w:p>
    <w:p w14:paraId="0E0D4B99">
      <w:pPr>
        <w:spacing w:before="120" w:after="120" w:line="288" w:lineRule="auto"/>
        <w:ind w:left="0"/>
        <w:jc w:val="left"/>
      </w:pPr>
      <w:r>
        <w:rPr>
          <w:rFonts w:ascii="Arial" w:hAnsi="Arial" w:eastAsia="等线" w:cs="Arial"/>
          <w:sz w:val="22"/>
        </w:rPr>
        <w:t>登录平台APP后，进入「项目需求」频道，精准选择「电力-光伏」细分分类，并保存行业关注标签，方便后续快速检索。</w:t>
      </w:r>
    </w:p>
    <w:p w14:paraId="6BA14C88">
      <w:pPr>
        <w:spacing w:before="120" w:after="120" w:line="288" w:lineRule="auto"/>
        <w:ind w:left="0"/>
        <w:jc w:val="left"/>
      </w:pPr>
      <w:r>
        <w:rPr>
          <w:rFonts w:ascii="Arial" w:hAnsi="Arial" w:eastAsia="等线" w:cs="Arial"/>
          <w:b/>
          <w:sz w:val="22"/>
        </w:rPr>
        <w:t>（2）精准设置筛选条件</w:t>
      </w:r>
    </w:p>
    <w:p w14:paraId="126BF248">
      <w:pPr>
        <w:spacing w:before="120" w:after="120" w:line="288" w:lineRule="auto"/>
        <w:ind w:left="0"/>
        <w:jc w:val="left"/>
      </w:pPr>
      <w:r>
        <w:rPr>
          <w:rFonts w:ascii="Arial" w:hAnsi="Arial" w:eastAsia="等线" w:cs="Arial"/>
          <w:sz w:val="22"/>
        </w:rPr>
        <w:t>针对性勾选「印尼本土项目经验」核心筛选条件，触发平台大数据智能算法，开展精准匹配筛选。</w:t>
      </w:r>
    </w:p>
    <w:p w14:paraId="14D5C728">
      <w:pPr>
        <w:spacing w:before="120" w:after="120" w:line="288" w:lineRule="auto"/>
        <w:ind w:left="0"/>
        <w:jc w:val="left"/>
      </w:pPr>
      <w:r>
        <w:rPr>
          <w:rFonts w:ascii="Arial" w:hAnsi="Arial" w:eastAsia="等线" w:cs="Arial"/>
          <w:b/>
          <w:sz w:val="22"/>
        </w:rPr>
        <w:t>（3）获取优质匹配服务商</w:t>
      </w:r>
    </w:p>
    <w:p w14:paraId="29221904">
      <w:pPr>
        <w:spacing w:before="120" w:after="120" w:line="288" w:lineRule="auto"/>
        <w:ind w:left="0"/>
        <w:jc w:val="left"/>
      </w:pPr>
      <w:r>
        <w:rPr>
          <w:rFonts w:ascii="Arial" w:hAnsi="Arial" w:eastAsia="等线" w:cs="Arial"/>
          <w:sz w:val="22"/>
        </w:rPr>
        <w:t>平台优先推送具备印尼本土光伏项目落地案例的优质企业，核心代表企业包括山东电力工程咨询有限公司、中国电建集团华东勘测设计研究院有限公司；若本土匹配资源不足，系统将自动拓宽筛选范围，匹配拥有全球光伏项目实操经验的优质服务商，保障资源供给充足。</w:t>
      </w:r>
    </w:p>
    <w:p w14:paraId="6C6EE337">
      <w:pPr>
        <w:spacing w:before="120" w:after="120" w:line="288" w:lineRule="auto"/>
        <w:ind w:left="0"/>
        <w:jc w:val="left"/>
      </w:pPr>
      <w:r>
        <w:rPr>
          <w:rFonts w:ascii="Arial" w:hAnsi="Arial" w:eastAsia="等线" w:cs="Arial"/>
          <w:b/>
          <w:sz w:val="22"/>
        </w:rPr>
        <w:t>（4）查看企业详情与落地案例</w:t>
      </w:r>
    </w:p>
    <w:p w14:paraId="1E06DB18">
      <w:pPr>
        <w:spacing w:before="120" w:after="120" w:line="288" w:lineRule="auto"/>
        <w:ind w:left="0"/>
        <w:jc w:val="left"/>
      </w:pPr>
      <w:r>
        <w:rPr>
          <w:rFonts w:ascii="Arial" w:hAnsi="Arial" w:eastAsia="等线" w:cs="Arial"/>
          <w:sz w:val="22"/>
        </w:rPr>
        <w:t>点击进入目标企业线上店铺的「业务领域」专区，可直观查阅企业在印尼当地的在建、已竣工光伏项目案例，其中包含山东电力工程咨询有限公司的印尼卡郎卡德斯100MW漂浮式光伏项目、中国电建集团华东勘测设计研究院有限公司的印尼奇拉塔192MW漂浮式光伏项目等标杆项目。</w:t>
      </w:r>
    </w:p>
    <w:p w14:paraId="4E5611DA">
      <w:pPr>
        <w:spacing w:before="120" w:after="120" w:line="288" w:lineRule="auto"/>
        <w:ind w:left="0"/>
        <w:jc w:val="left"/>
      </w:pPr>
      <w:r>
        <w:rPr>
          <w:rFonts w:ascii="Arial" w:hAnsi="Arial" w:eastAsia="等线" w:cs="Arial"/>
          <w:b/>
          <w:sz w:val="22"/>
        </w:rPr>
        <w:t>（5）线上直连沟通、择优合作</w:t>
      </w:r>
    </w:p>
    <w:p w14:paraId="6594A67F">
      <w:pPr>
        <w:spacing w:before="120" w:after="120" w:line="288" w:lineRule="auto"/>
        <w:ind w:left="0"/>
        <w:jc w:val="left"/>
      </w:pPr>
      <w:r>
        <w:rPr>
          <w:rFonts w:ascii="Arial" w:hAnsi="Arial" w:eastAsia="等线" w:cs="Arial"/>
          <w:sz w:val="22"/>
        </w:rPr>
        <w:t>依托平台内置沟通功能，可直接对接企业专业技术与运营团队，详细咨询项目落地流程、海外施工难点、问题解决方案等核心内容，通过多家企业对比沟通，优中选优，确定最契合项目需求的合作服务商。</w:t>
      </w:r>
    </w:p>
    <w:p w14:paraId="47490BA4">
      <w:pPr>
        <w:spacing w:before="300" w:after="120" w:line="288" w:lineRule="auto"/>
        <w:ind w:left="0"/>
        <w:jc w:val="left"/>
        <w:outlineLvl w:val="2"/>
      </w:pPr>
      <w:bookmarkStart w:id="4" w:name="heading_4"/>
      <w:r>
        <w:rPr>
          <w:rFonts w:ascii="Arial" w:hAnsi="Arial" w:eastAsia="等线" w:cs="Arial"/>
          <w:b/>
          <w:sz w:val="30"/>
        </w:rPr>
        <w:t>3. 关键能力体现</w:t>
      </w:r>
      <w:bookmarkEnd w:id="4"/>
    </w:p>
    <w:p w14:paraId="545941FA">
      <w:pPr>
        <w:spacing w:before="120" w:after="120" w:line="288" w:lineRule="auto"/>
        <w:ind w:left="0"/>
        <w:jc w:val="left"/>
      </w:pPr>
      <w:r>
        <w:rPr>
          <w:rFonts w:ascii="Arial" w:hAnsi="Arial" w:eastAsia="等线" w:cs="Arial"/>
          <w:sz w:val="22"/>
        </w:rPr>
        <w:t>多维度筛选：支持结合项目地域经验、业务服务环节、企业资质实力多维度精准匹配，筛选精度高；</w:t>
      </w:r>
    </w:p>
    <w:p w14:paraId="7294CFFB">
      <w:pPr>
        <w:spacing w:before="120" w:after="120" w:line="288" w:lineRule="auto"/>
        <w:ind w:left="0"/>
        <w:jc w:val="left"/>
      </w:pPr>
      <w:r>
        <w:rPr>
          <w:rFonts w:ascii="Arial" w:hAnsi="Arial" w:eastAsia="等线" w:cs="Arial"/>
          <w:sz w:val="22"/>
        </w:rPr>
        <w:t>案例可视化：企业店铺集中展示标杆项目与实操业绩，真实可查，大幅降低跨境合作信任成本；</w:t>
      </w:r>
    </w:p>
    <w:p w14:paraId="473D4E06">
      <w:pPr>
        <w:spacing w:before="120" w:after="120" w:line="288" w:lineRule="auto"/>
        <w:ind w:left="0"/>
        <w:jc w:val="left"/>
      </w:pPr>
      <w:r>
        <w:rPr>
          <w:rFonts w:ascii="Arial" w:hAnsi="Arial" w:eastAsia="等线" w:cs="Arial"/>
          <w:sz w:val="22"/>
        </w:rPr>
        <w:t>跨域适配：可自动拓展国际优质服务商资源池，有效解决单一区域优质资源不足的痛点。</w:t>
      </w:r>
    </w:p>
    <w:p w14:paraId="4CFA3C2F">
      <w:pPr>
        <w:spacing w:before="320" w:after="120" w:line="288" w:lineRule="auto"/>
        <w:ind w:left="0"/>
        <w:jc w:val="left"/>
        <w:outlineLvl w:val="1"/>
      </w:pPr>
      <w:bookmarkStart w:id="5" w:name="heading_5"/>
      <w:r>
        <w:rPr>
          <w:rFonts w:ascii="Arial" w:hAnsi="Arial" w:eastAsia="等线" w:cs="Arial"/>
          <w:b/>
          <w:sz w:val="32"/>
        </w:rPr>
        <w:t>三、场景2：需求寻源（华能电力市场拓展部视角）</w:t>
      </w:r>
      <w:bookmarkEnd w:id="5"/>
    </w:p>
    <w:p w14:paraId="1D94FE0F">
      <w:pPr>
        <w:spacing w:before="300" w:after="120" w:line="288" w:lineRule="auto"/>
        <w:ind w:left="0"/>
        <w:jc w:val="left"/>
        <w:outlineLvl w:val="2"/>
      </w:pPr>
      <w:bookmarkStart w:id="6" w:name="heading_6"/>
      <w:r>
        <w:rPr>
          <w:rFonts w:ascii="Arial" w:hAnsi="Arial" w:eastAsia="等线" w:cs="Arial"/>
          <w:b/>
          <w:sz w:val="30"/>
        </w:rPr>
        <w:t>1. 业务背景</w:t>
      </w:r>
      <w:bookmarkEnd w:id="6"/>
    </w:p>
    <w:p w14:paraId="5CDF8087">
      <w:pPr>
        <w:spacing w:before="120" w:after="120" w:line="288" w:lineRule="auto"/>
        <w:ind w:left="0"/>
        <w:jc w:val="left"/>
      </w:pPr>
      <w:r>
        <w:rPr>
          <w:rFonts w:ascii="Arial" w:hAnsi="Arial" w:eastAsia="等线" w:cs="Arial"/>
          <w:sz w:val="22"/>
        </w:rPr>
        <w:t>华能电力市场拓展部需要拓展光伏新项目，业务布局以国内光伏项目为核心首选，国内资源稀缺或体量不足时，同步拓展海外优质光伏项目，完善企业海内外业务布局。</w:t>
      </w:r>
    </w:p>
    <w:p w14:paraId="24A06C9C">
      <w:pPr>
        <w:spacing w:before="300" w:after="120" w:line="288" w:lineRule="auto"/>
        <w:ind w:left="0"/>
        <w:jc w:val="left"/>
        <w:outlineLvl w:val="2"/>
      </w:pPr>
      <w:bookmarkStart w:id="7" w:name="heading_7"/>
      <w:r>
        <w:rPr>
          <w:rFonts w:ascii="Arial" w:hAnsi="Arial" w:eastAsia="等线" w:cs="Arial"/>
          <w:b/>
          <w:sz w:val="30"/>
        </w:rPr>
        <w:t>2. 操作流程</w:t>
      </w:r>
      <w:bookmarkEnd w:id="7"/>
    </w:p>
    <w:p w14:paraId="49C968A0">
      <w:pPr>
        <w:spacing w:before="120" w:after="120" w:line="288" w:lineRule="auto"/>
        <w:ind w:left="0"/>
        <w:jc w:val="left"/>
      </w:pPr>
      <w:r>
        <w:rPr>
          <w:rFonts w:ascii="Arial" w:hAnsi="Arial" w:eastAsia="等线" w:cs="Arial"/>
          <w:sz w:val="22"/>
        </w:rPr>
        <w:t>平台提供三种便捷寻源路径，适配不同用户操作习惯，快速精准获取光伏项目资源：</w:t>
      </w:r>
    </w:p>
    <w:p w14:paraId="3A63F4D5">
      <w:pPr>
        <w:spacing w:before="120" w:after="120" w:line="288" w:lineRule="auto"/>
        <w:ind w:left="0"/>
        <w:jc w:val="left"/>
      </w:pPr>
      <w:r>
        <w:rPr>
          <w:rFonts w:ascii="Arial" w:hAnsi="Arial" w:eastAsia="等线" w:cs="Arial"/>
          <w:b/>
          <w:sz w:val="22"/>
        </w:rPr>
        <w:t>（1）系统智能推荐</w:t>
      </w:r>
    </w:p>
    <w:p w14:paraId="4740CB5C">
      <w:pPr>
        <w:spacing w:before="120" w:after="120" w:line="288" w:lineRule="auto"/>
        <w:ind w:left="0"/>
        <w:jc w:val="left"/>
      </w:pPr>
      <w:r>
        <w:rPr>
          <w:rFonts w:ascii="Arial" w:hAnsi="Arial" w:eastAsia="等线" w:cs="Arial"/>
          <w:sz w:val="22"/>
        </w:rPr>
        <w:t>用户注册账号时勾选关注「光伏」行业标签，平台将基于用户行业偏好、业务属性，智能推送适配的海内外光伏项目信息，实现被动精准获源。</w:t>
      </w:r>
    </w:p>
    <w:p w14:paraId="21156463">
      <w:pPr>
        <w:spacing w:before="120" w:after="120" w:line="288" w:lineRule="auto"/>
        <w:ind w:left="0"/>
        <w:jc w:val="left"/>
      </w:pPr>
      <w:r>
        <w:rPr>
          <w:rFonts w:ascii="Arial" w:hAnsi="Arial" w:eastAsia="等线" w:cs="Arial"/>
          <w:b/>
          <w:sz w:val="22"/>
        </w:rPr>
        <w:t>（2）分类频道精准筛选</w:t>
      </w:r>
    </w:p>
    <w:p w14:paraId="5C9F616A">
      <w:pPr>
        <w:spacing w:before="120" w:after="120" w:line="288" w:lineRule="auto"/>
        <w:ind w:left="0"/>
        <w:jc w:val="left"/>
      </w:pPr>
      <w:r>
        <w:rPr>
          <w:rFonts w:ascii="Arial" w:hAnsi="Arial" w:eastAsia="等线" w:cs="Arial"/>
          <w:sz w:val="22"/>
        </w:rPr>
        <w:t>进入平台「项目供应」频道，选定「电力-光伏」细分赛道，可根据项目服务环节（咨询、规划、施工、运营）、落地地域（国内/海外）、技术等级等维度精细化筛选项目资源。</w:t>
      </w:r>
    </w:p>
    <w:p w14:paraId="4A0A0043">
      <w:pPr>
        <w:spacing w:before="120" w:after="120" w:line="288" w:lineRule="auto"/>
        <w:ind w:left="0"/>
        <w:jc w:val="left"/>
      </w:pPr>
      <w:r>
        <w:rPr>
          <w:rFonts w:ascii="Arial" w:hAnsi="Arial" w:eastAsia="等线" w:cs="Arial"/>
          <w:b/>
          <w:sz w:val="22"/>
        </w:rPr>
        <w:t>（3）关键词一键搜索</w:t>
      </w:r>
    </w:p>
    <w:p w14:paraId="76C4403A">
      <w:pPr>
        <w:spacing w:before="120" w:after="120" w:line="288" w:lineRule="auto"/>
        <w:ind w:left="0"/>
        <w:jc w:val="left"/>
      </w:pPr>
      <w:r>
        <w:rPr>
          <w:rFonts w:ascii="Arial" w:hAnsi="Arial" w:eastAsia="等线" w:cs="Arial"/>
          <w:sz w:val="22"/>
        </w:rPr>
        <w:t>在平台首页搜索栏直接输入「光伏项目」核心关键词，一键跳转专属筛选页面，可快速查阅国内标杆项目（广州穗开电业广东分布式光伏项目）、海外优质项目（沙特阿拉伯国家石油公司麦加省光伏项目）等全品类项目资源。</w:t>
      </w:r>
    </w:p>
    <w:p w14:paraId="33DDA1F0">
      <w:pPr>
        <w:spacing w:before="300" w:after="120" w:line="288" w:lineRule="auto"/>
        <w:ind w:left="0"/>
        <w:jc w:val="left"/>
        <w:outlineLvl w:val="2"/>
      </w:pPr>
      <w:bookmarkStart w:id="8" w:name="heading_8"/>
      <w:r>
        <w:rPr>
          <w:rFonts w:ascii="Arial" w:hAnsi="Arial" w:eastAsia="等线" w:cs="Arial"/>
          <w:b/>
          <w:sz w:val="30"/>
        </w:rPr>
        <w:t>3. 关键能力体现</w:t>
      </w:r>
      <w:bookmarkEnd w:id="8"/>
    </w:p>
    <w:p w14:paraId="00DE45D8">
      <w:pPr>
        <w:spacing w:before="120" w:after="120" w:line="288" w:lineRule="auto"/>
        <w:ind w:left="0"/>
        <w:jc w:val="left"/>
      </w:pPr>
      <w:r>
        <w:rPr>
          <w:rFonts w:ascii="Arial" w:hAnsi="Arial" w:eastAsia="等线" w:cs="Arial"/>
          <w:sz w:val="22"/>
        </w:rPr>
        <w:t>多路径触达：覆盖智能推送、分类筛选、关键词搜索三种寻源模式，适配各类用户操作场景；</w:t>
      </w:r>
    </w:p>
    <w:p w14:paraId="330AC61A">
      <w:pPr>
        <w:spacing w:before="120" w:after="120" w:line="288" w:lineRule="auto"/>
        <w:ind w:left="0"/>
        <w:jc w:val="left"/>
      </w:pPr>
      <w:r>
        <w:rPr>
          <w:rFonts w:ascii="Arial" w:hAnsi="Arial" w:eastAsia="等线" w:cs="Arial"/>
          <w:sz w:val="22"/>
        </w:rPr>
        <w:t>项目全维度展示：多维度细分项目属性，精准匹配企业不同阶段、不同方向的业务拓展需求；</w:t>
      </w:r>
    </w:p>
    <w:p w14:paraId="440CAFD0">
      <w:pPr>
        <w:spacing w:before="120" w:after="120" w:line="288" w:lineRule="auto"/>
        <w:ind w:left="0"/>
        <w:jc w:val="left"/>
      </w:pPr>
      <w:r>
        <w:rPr>
          <w:rFonts w:ascii="Arial" w:hAnsi="Arial" w:eastAsia="等线" w:cs="Arial"/>
          <w:sz w:val="22"/>
        </w:rPr>
        <w:t>内外双循环：打通国内、海外光伏项目资源，全方位支撑企业全球化业务布局。</w:t>
      </w:r>
    </w:p>
    <w:p w14:paraId="05F69F2E">
      <w:pPr>
        <w:spacing w:before="320" w:after="120" w:line="288" w:lineRule="auto"/>
        <w:ind w:left="0"/>
        <w:jc w:val="left"/>
        <w:outlineLvl w:val="1"/>
      </w:pPr>
      <w:bookmarkStart w:id="9" w:name="heading_9"/>
      <w:r>
        <w:rPr>
          <w:rFonts w:ascii="Arial" w:hAnsi="Arial" w:eastAsia="等线" w:cs="Arial"/>
          <w:b/>
          <w:sz w:val="32"/>
        </w:rPr>
        <w:t>四、场景3：生态寻源（光伏项目法律服务视角）</w:t>
      </w:r>
      <w:bookmarkEnd w:id="9"/>
    </w:p>
    <w:p w14:paraId="72824BC2">
      <w:pPr>
        <w:spacing w:before="300" w:after="120" w:line="288" w:lineRule="auto"/>
        <w:ind w:left="0"/>
        <w:jc w:val="left"/>
        <w:outlineLvl w:val="2"/>
      </w:pPr>
      <w:bookmarkStart w:id="10" w:name="heading_10"/>
      <w:r>
        <w:rPr>
          <w:rFonts w:ascii="Arial" w:hAnsi="Arial" w:eastAsia="等线" w:cs="Arial"/>
          <w:b/>
          <w:sz w:val="30"/>
        </w:rPr>
        <w:t>1. 业务背景</w:t>
      </w:r>
      <w:bookmarkEnd w:id="10"/>
    </w:p>
    <w:p w14:paraId="0F25D8D5">
      <w:pPr>
        <w:spacing w:before="120" w:after="120" w:line="288" w:lineRule="auto"/>
        <w:ind w:left="0"/>
        <w:jc w:val="left"/>
      </w:pPr>
      <w:r>
        <w:rPr>
          <w:rFonts w:ascii="Arial" w:hAnsi="Arial" w:eastAsia="等线" w:cs="Arial"/>
          <w:sz w:val="22"/>
        </w:rPr>
        <w:t>跨境印尼光伏项目落地涉及当地法律法规、投融资合规、涉外交易等诸多风险，需要匹配熟悉印尼当地法律政策、具备光伏项目专项服务经验的律师团队，为项目全流程合规落地保驾护航。</w:t>
      </w:r>
    </w:p>
    <w:p w14:paraId="051D75B4">
      <w:pPr>
        <w:spacing w:before="300" w:after="120" w:line="288" w:lineRule="auto"/>
        <w:ind w:left="0"/>
        <w:jc w:val="left"/>
        <w:outlineLvl w:val="2"/>
      </w:pPr>
      <w:bookmarkStart w:id="11" w:name="heading_11"/>
      <w:r>
        <w:rPr>
          <w:rFonts w:ascii="Arial" w:hAnsi="Arial" w:eastAsia="等线" w:cs="Arial"/>
          <w:b/>
          <w:sz w:val="30"/>
        </w:rPr>
        <w:t>2. 操作流程</w:t>
      </w:r>
      <w:bookmarkEnd w:id="11"/>
    </w:p>
    <w:p w14:paraId="2B21E847">
      <w:pPr>
        <w:spacing w:before="120" w:after="120" w:line="288" w:lineRule="auto"/>
        <w:ind w:left="0"/>
        <w:jc w:val="left"/>
      </w:pPr>
      <w:r>
        <w:rPr>
          <w:rFonts w:ascii="Arial" w:hAnsi="Arial" w:eastAsia="等线" w:cs="Arial"/>
          <w:b/>
          <w:sz w:val="22"/>
        </w:rPr>
        <w:t>（1）进入生态服务筛选端口</w:t>
      </w:r>
    </w:p>
    <w:p w14:paraId="519FD227">
      <w:pPr>
        <w:spacing w:before="120" w:after="120" w:line="288" w:lineRule="auto"/>
        <w:ind w:left="0"/>
        <w:jc w:val="left"/>
      </w:pPr>
      <w:r>
        <w:rPr>
          <w:rFonts w:ascii="Arial" w:hAnsi="Arial" w:eastAsia="等线" w:cs="Arial"/>
          <w:sz w:val="22"/>
        </w:rPr>
        <w:t>在平台「光伏」项目专属界面的「生态」属性板块中，选择「法律」服务选项，进入专项法律服务筛选页面。</w:t>
      </w:r>
    </w:p>
    <w:p w14:paraId="608F017F">
      <w:pPr>
        <w:spacing w:before="120" w:after="120" w:line="288" w:lineRule="auto"/>
        <w:ind w:left="0"/>
        <w:jc w:val="left"/>
      </w:pPr>
      <w:r>
        <w:rPr>
          <w:rFonts w:ascii="Arial" w:hAnsi="Arial" w:eastAsia="等线" w:cs="Arial"/>
          <w:b/>
          <w:sz w:val="22"/>
        </w:rPr>
        <w:t>（2）精准匹配专项律师资源</w:t>
      </w:r>
    </w:p>
    <w:p w14:paraId="2B325B2B">
      <w:pPr>
        <w:spacing w:before="120" w:after="120" w:line="288" w:lineRule="auto"/>
        <w:ind w:left="0"/>
        <w:jc w:val="left"/>
      </w:pPr>
      <w:r>
        <w:rPr>
          <w:rFonts w:ascii="Arial" w:hAnsi="Arial" w:eastAsia="等线" w:cs="Arial"/>
          <w:sz w:val="22"/>
        </w:rPr>
        <w:t>后台系统优先智能筛选具备印尼光伏项目服务经验的专业律师，典型代表为北京市竞天公诚律师事务所申嵩律师。</w:t>
      </w:r>
    </w:p>
    <w:p w14:paraId="5C90D05A">
      <w:pPr>
        <w:spacing w:before="120" w:after="120" w:line="288" w:lineRule="auto"/>
        <w:ind w:left="0"/>
        <w:jc w:val="left"/>
      </w:pPr>
      <w:r>
        <w:rPr>
          <w:rFonts w:ascii="Arial" w:hAnsi="Arial" w:eastAsia="等线" w:cs="Arial"/>
          <w:b/>
          <w:sz w:val="22"/>
        </w:rPr>
        <w:t>（3）自动拓展资源池（兜底适配）</w:t>
      </w:r>
    </w:p>
    <w:p w14:paraId="2C6D5C00">
      <w:pPr>
        <w:spacing w:before="120" w:after="120" w:line="288" w:lineRule="auto"/>
        <w:ind w:left="0"/>
        <w:jc w:val="left"/>
      </w:pPr>
      <w:r>
        <w:rPr>
          <w:rFonts w:ascii="Arial" w:hAnsi="Arial" w:eastAsia="等线" w:cs="Arial"/>
          <w:sz w:val="22"/>
        </w:rPr>
        <w:t>若具备光伏专项经验的律师资源较少，系统将自动扩大筛选范围，匹配服务过印尼各类工程项目的资深律师，该类律师熟知当地法规政策，可充分保障光伏项目合规推进。</w:t>
      </w:r>
    </w:p>
    <w:p w14:paraId="00FE3812">
      <w:pPr>
        <w:spacing w:before="120" w:after="120" w:line="288" w:lineRule="auto"/>
        <w:ind w:left="0"/>
        <w:jc w:val="left"/>
      </w:pPr>
      <w:r>
        <w:rPr>
          <w:rFonts w:ascii="Arial" w:hAnsi="Arial" w:eastAsia="等线" w:cs="Arial"/>
          <w:b/>
          <w:sz w:val="22"/>
        </w:rPr>
        <w:t>（4）查阅律师资质与实操业绩</w:t>
      </w:r>
    </w:p>
    <w:p w14:paraId="7801D83D">
      <w:pPr>
        <w:spacing w:before="120" w:after="120" w:line="288" w:lineRule="auto"/>
        <w:ind w:left="0"/>
        <w:jc w:val="left"/>
      </w:pPr>
      <w:r>
        <w:rPr>
          <w:rFonts w:ascii="Arial" w:hAnsi="Arial" w:eastAsia="等线" w:cs="Arial"/>
          <w:sz w:val="22"/>
        </w:rPr>
        <w:t>进入律师专属线上店铺，可清晰查看律师从业经历、教育背景、专业领域（能源与自然资源、境外投资、并购投融资），同时可查阅其服务过的印尼卡郎卡德斯水上光伏项目等真实跨境光伏案例，直观验证专业能力。</w:t>
      </w:r>
    </w:p>
    <w:p w14:paraId="522301F8">
      <w:pPr>
        <w:spacing w:before="120" w:after="120" w:line="288" w:lineRule="auto"/>
        <w:ind w:left="0"/>
        <w:jc w:val="left"/>
      </w:pPr>
      <w:r>
        <w:rPr>
          <w:rFonts w:ascii="Arial" w:hAnsi="Arial" w:eastAsia="等线" w:cs="Arial"/>
          <w:b/>
          <w:sz w:val="22"/>
        </w:rPr>
        <w:t>（5）线上一对一咨询对接</w:t>
      </w:r>
    </w:p>
    <w:p w14:paraId="7EC2339C">
      <w:pPr>
        <w:spacing w:before="120" w:after="120" w:line="288" w:lineRule="auto"/>
        <w:ind w:left="0"/>
        <w:jc w:val="left"/>
      </w:pPr>
      <w:r>
        <w:rPr>
          <w:rFonts w:ascii="Arial" w:hAnsi="Arial" w:eastAsia="等线" w:cs="Arial"/>
          <w:sz w:val="22"/>
        </w:rPr>
        <w:t>通过平台内置沟通端口，直接与律师对接，针对项目合规审核、涉外交易、风险规避等核心需求开展深度咨询，定制专属法律服务方案。</w:t>
      </w:r>
    </w:p>
    <w:p w14:paraId="56371C02">
      <w:pPr>
        <w:spacing w:before="300" w:after="120" w:line="288" w:lineRule="auto"/>
        <w:ind w:left="0"/>
        <w:jc w:val="left"/>
        <w:outlineLvl w:val="2"/>
      </w:pPr>
      <w:bookmarkStart w:id="12" w:name="heading_12"/>
      <w:r>
        <w:rPr>
          <w:rFonts w:ascii="Arial" w:hAnsi="Arial" w:eastAsia="等线" w:cs="Arial"/>
          <w:b/>
          <w:sz w:val="30"/>
        </w:rPr>
        <w:t>3. 关键能力体现</w:t>
      </w:r>
      <w:bookmarkEnd w:id="12"/>
    </w:p>
    <w:p w14:paraId="4513C93A">
      <w:pPr>
        <w:spacing w:before="120" w:after="120" w:line="288" w:lineRule="auto"/>
        <w:ind w:left="0"/>
        <w:jc w:val="left"/>
      </w:pPr>
      <w:r>
        <w:rPr>
          <w:rFonts w:ascii="Arial" w:hAnsi="Arial" w:eastAsia="等线" w:cs="Arial"/>
          <w:sz w:val="22"/>
        </w:rPr>
        <w:t>场景化生态匹配：实现法律服务与光伏跨境项目深度绑定，精准规避无效、错位匹配；</w:t>
      </w:r>
    </w:p>
    <w:p w14:paraId="65FA65C9">
      <w:pPr>
        <w:spacing w:before="120" w:after="120" w:line="288" w:lineRule="auto"/>
        <w:ind w:left="0"/>
        <w:jc w:val="left"/>
      </w:pPr>
      <w:r>
        <w:rPr>
          <w:rFonts w:ascii="Arial" w:hAnsi="Arial" w:eastAsia="等线" w:cs="Arial"/>
          <w:sz w:val="22"/>
        </w:rPr>
        <w:t>资质业绩可视化：律师专项业绩、涉外经验公开可查，专业能力直观可验证；</w:t>
      </w:r>
    </w:p>
    <w:p w14:paraId="11EBB0C4">
      <w:pPr>
        <w:spacing w:before="120" w:after="120" w:line="288" w:lineRule="auto"/>
        <w:ind w:left="0"/>
        <w:jc w:val="left"/>
      </w:pPr>
      <w:r>
        <w:rPr>
          <w:rFonts w:ascii="Arial" w:hAnsi="Arial" w:eastAsia="等线" w:cs="Arial"/>
          <w:sz w:val="22"/>
        </w:rPr>
        <w:t>跨域合规适配：聚焦属地化法律资源，精准适配印尼当地法规政策，有效降低跨境项目合规风险。</w:t>
      </w:r>
    </w:p>
    <w:p w14:paraId="0879286C">
      <w:pPr>
        <w:spacing w:before="320" w:after="120" w:line="288" w:lineRule="auto"/>
        <w:ind w:left="0"/>
        <w:jc w:val="left"/>
        <w:outlineLvl w:val="1"/>
      </w:pPr>
      <w:bookmarkStart w:id="13" w:name="heading_13"/>
      <w:r>
        <w:rPr>
          <w:rFonts w:ascii="Arial" w:hAnsi="Arial" w:eastAsia="等线" w:cs="Arial"/>
          <w:b/>
          <w:sz w:val="32"/>
        </w:rPr>
        <w:t>五、场景4：公路工程供需对接（通用能力验证场景）</w:t>
      </w:r>
      <w:bookmarkEnd w:id="13"/>
    </w:p>
    <w:p w14:paraId="73E0A2EE">
      <w:pPr>
        <w:spacing w:before="300" w:after="120" w:line="288" w:lineRule="auto"/>
        <w:ind w:left="0"/>
        <w:jc w:val="left"/>
        <w:outlineLvl w:val="2"/>
      </w:pPr>
      <w:bookmarkStart w:id="14" w:name="heading_14"/>
      <w:r>
        <w:rPr>
          <w:rFonts w:ascii="Arial" w:hAnsi="Arial" w:eastAsia="等线" w:cs="Arial"/>
          <w:b/>
          <w:sz w:val="30"/>
        </w:rPr>
        <w:t>1. 业务背景</w:t>
      </w:r>
      <w:bookmarkEnd w:id="14"/>
    </w:p>
    <w:p w14:paraId="7895A314">
      <w:pPr>
        <w:spacing w:before="120" w:after="120" w:line="288" w:lineRule="auto"/>
        <w:ind w:left="0"/>
        <w:jc w:val="left"/>
      </w:pPr>
      <w:r>
        <w:rPr>
          <w:rFonts w:ascii="Arial" w:hAnsi="Arial" w:eastAsia="等线" w:cs="Arial"/>
          <w:sz w:val="22"/>
        </w:rPr>
        <w:t>公路工程领域供需双方，需要高效、精准匹配优质合作资源，覆盖项目规划、立项、施工、运营全生命周期，解决传统对接效率低、资源零散的问题。</w:t>
      </w:r>
    </w:p>
    <w:p w14:paraId="42306F4F">
      <w:pPr>
        <w:spacing w:before="300" w:after="120" w:line="288" w:lineRule="auto"/>
        <w:ind w:left="0"/>
        <w:jc w:val="left"/>
        <w:outlineLvl w:val="2"/>
      </w:pPr>
      <w:bookmarkStart w:id="15" w:name="heading_15"/>
      <w:r>
        <w:rPr>
          <w:rFonts w:ascii="Arial" w:hAnsi="Arial" w:eastAsia="等线" w:cs="Arial"/>
          <w:b/>
          <w:sz w:val="30"/>
        </w:rPr>
        <w:t>2. 操作流程</w:t>
      </w:r>
      <w:bookmarkEnd w:id="15"/>
    </w:p>
    <w:p w14:paraId="707CE0E7">
      <w:pPr>
        <w:spacing w:before="120" w:after="120" w:line="288" w:lineRule="auto"/>
        <w:ind w:left="0"/>
        <w:jc w:val="left"/>
      </w:pPr>
      <w:r>
        <w:rPr>
          <w:rFonts w:ascii="Arial" w:hAnsi="Arial" w:eastAsia="等线" w:cs="Arial"/>
          <w:b/>
          <w:sz w:val="22"/>
        </w:rPr>
        <w:t>（1）需求寻源端操作</w:t>
      </w:r>
    </w:p>
    <w:p w14:paraId="66143DFB">
      <w:pPr>
        <w:spacing w:before="120" w:after="120" w:line="288" w:lineRule="auto"/>
        <w:ind w:left="0"/>
        <w:jc w:val="left"/>
      </w:pPr>
      <w:r>
        <w:rPr>
          <w:rFonts w:ascii="Arial" w:hAnsi="Arial" w:eastAsia="等线" w:cs="Arial"/>
          <w:sz w:val="22"/>
        </w:rPr>
        <w:t>进入「项目需求」频道，选择「交通运输-公路」分类，可按照公路技术等级（高速、一级、二级公路等）、行政等级（国道、省道、县道、乡道、村道）、项目推进阶段（规划、立项申报、施工准备、开工建设、投产运营等）多维度精准筛选项目需求，支持一键加入询价单、发起询价，快速对接供应方。</w:t>
      </w:r>
    </w:p>
    <w:p w14:paraId="647C5F21">
      <w:pPr>
        <w:spacing w:before="120" w:after="120" w:line="288" w:lineRule="auto"/>
        <w:ind w:left="0"/>
        <w:jc w:val="left"/>
      </w:pPr>
      <w:r>
        <w:rPr>
          <w:rFonts w:ascii="Arial" w:hAnsi="Arial" w:eastAsia="等线" w:cs="Arial"/>
          <w:b/>
          <w:sz w:val="22"/>
        </w:rPr>
        <w:t>（2）供应寻源端操作</w:t>
      </w:r>
    </w:p>
    <w:p w14:paraId="6983E740">
      <w:pPr>
        <w:spacing w:before="120" w:after="120" w:line="288" w:lineRule="auto"/>
        <w:ind w:left="0"/>
        <w:jc w:val="left"/>
      </w:pPr>
      <w:r>
        <w:rPr>
          <w:rFonts w:ascii="Arial" w:hAnsi="Arial" w:eastAsia="等线" w:cs="Arial"/>
          <w:sz w:val="22"/>
        </w:rPr>
        <w:t>进入「项目供应」频道，选定「交通运输-公路」分类，可查看湖南路桥建设集团、山东高速集团等头部优质供应企业信息，支持直接联系商家、咨询合作细节。</w:t>
      </w:r>
    </w:p>
    <w:p w14:paraId="21A20A31">
      <w:pPr>
        <w:spacing w:before="120" w:after="120" w:line="288" w:lineRule="auto"/>
        <w:ind w:left="0"/>
        <w:jc w:val="left"/>
      </w:pPr>
      <w:r>
        <w:rPr>
          <w:rFonts w:ascii="Arial" w:hAnsi="Arial" w:eastAsia="等线" w:cs="Arial"/>
          <w:b/>
          <w:sz w:val="22"/>
        </w:rPr>
        <w:t>（3）线上供需洽谈对接</w:t>
      </w:r>
    </w:p>
    <w:p w14:paraId="26D12439">
      <w:pPr>
        <w:spacing w:before="120" w:after="120" w:line="288" w:lineRule="auto"/>
        <w:ind w:left="0"/>
        <w:jc w:val="left"/>
      </w:pPr>
      <w:r>
        <w:rPr>
          <w:rFonts w:ascii="Arial" w:hAnsi="Arial" w:eastAsia="等线" w:cs="Arial"/>
          <w:sz w:val="22"/>
        </w:rPr>
        <w:t>平台内置专属洽谈聊天功能，供需双方无需跳转第三方工具，可直接沟通施工方案、资质要求、报价细节、项目周期等核心内容，实现高效对接。</w:t>
      </w:r>
    </w:p>
    <w:p w14:paraId="158A0822">
      <w:pPr>
        <w:spacing w:before="300" w:after="120" w:line="288" w:lineRule="auto"/>
        <w:ind w:left="0"/>
        <w:jc w:val="left"/>
        <w:outlineLvl w:val="2"/>
      </w:pPr>
      <w:bookmarkStart w:id="16" w:name="heading_16"/>
      <w:r>
        <w:rPr>
          <w:rFonts w:ascii="Arial" w:hAnsi="Arial" w:eastAsia="等线" w:cs="Arial"/>
          <w:b/>
          <w:sz w:val="30"/>
        </w:rPr>
        <w:t>3. 关键能力体现</w:t>
      </w:r>
      <w:bookmarkEnd w:id="16"/>
    </w:p>
    <w:p w14:paraId="036672B2">
      <w:pPr>
        <w:spacing w:before="120" w:after="120" w:line="288" w:lineRule="auto"/>
        <w:ind w:left="0"/>
        <w:jc w:val="left"/>
      </w:pPr>
      <w:r>
        <w:rPr>
          <w:rFonts w:ascii="Arial" w:hAnsi="Arial" w:eastAsia="等线" w:cs="Arial"/>
          <w:sz w:val="22"/>
        </w:rPr>
        <w:t>全场景适配：平台核心供需对接能力可通用适配电力、交通运输等多行业领域，通用性强；</w:t>
      </w:r>
    </w:p>
    <w:p w14:paraId="30986CD7">
      <w:pPr>
        <w:spacing w:before="120" w:after="120" w:line="288" w:lineRule="auto"/>
        <w:ind w:left="0"/>
        <w:jc w:val="left"/>
      </w:pPr>
      <w:r>
        <w:rPr>
          <w:rFonts w:ascii="Arial" w:hAnsi="Arial" w:eastAsia="等线" w:cs="Arial"/>
          <w:sz w:val="22"/>
        </w:rPr>
        <w:t>全流程覆盖：覆盖工程项目从前期规划到后期运营的全生命周期，适配工程类长周期项目特点；</w:t>
      </w:r>
    </w:p>
    <w:p w14:paraId="370B867A">
      <w:pPr>
        <w:spacing w:before="120" w:after="120" w:line="288" w:lineRule="auto"/>
        <w:ind w:left="0"/>
        <w:jc w:val="left"/>
      </w:pPr>
      <w:r>
        <w:rPr>
          <w:rFonts w:ascii="Arial" w:hAnsi="Arial" w:eastAsia="等线" w:cs="Arial"/>
          <w:sz w:val="22"/>
        </w:rPr>
        <w:t>高效沟通履约：集成询价、洽谈、对接全功能，实现供需双方零壁垒、高效率合作对接。</w:t>
      </w:r>
    </w:p>
    <w:p w14:paraId="1A89C1C1">
      <w:pPr>
        <w:spacing w:before="320" w:after="120" w:line="288" w:lineRule="auto"/>
        <w:ind w:left="0"/>
        <w:jc w:val="left"/>
        <w:outlineLvl w:val="1"/>
      </w:pPr>
      <w:bookmarkStart w:id="17" w:name="heading_17"/>
      <w:r>
        <w:rPr>
          <w:rFonts w:ascii="Arial" w:hAnsi="Arial" w:eastAsia="等线" w:cs="Arial"/>
          <w:b/>
          <w:sz w:val="32"/>
        </w:rPr>
        <w:t>六、平台通用核心能力总结</w:t>
      </w:r>
      <w:bookmarkEnd w:id="17"/>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3000"/>
      </w:tblGrid>
      <w:tr w14:paraId="5A33A8C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0FC9AE4">
            <w:pPr>
              <w:spacing w:before="120" w:after="120" w:line="288" w:lineRule="auto"/>
              <w:ind w:left="0"/>
              <w:jc w:val="left"/>
            </w:pPr>
            <w:r>
              <w:rPr>
                <w:rFonts w:ascii="Arial" w:hAnsi="Arial" w:eastAsia="等线" w:cs="Arial"/>
                <w:sz w:val="22"/>
              </w:rPr>
              <w:t>能力维度</w:t>
            </w:r>
          </w:p>
        </w:tc>
        <w:tc>
          <w:tcPr>
            <w:tcW w:w="3000" w:type="dxa"/>
            <w:tcMar>
              <w:top w:w="60" w:type="dxa"/>
              <w:left w:w="120" w:type="dxa"/>
              <w:bottom w:w="30" w:type="dxa"/>
              <w:right w:w="120" w:type="dxa"/>
            </w:tcMar>
          </w:tcPr>
          <w:p w14:paraId="41D6B89F">
            <w:pPr>
              <w:spacing w:before="120" w:after="120" w:line="288" w:lineRule="auto"/>
              <w:ind w:left="0"/>
              <w:jc w:val="left"/>
            </w:pPr>
            <w:r>
              <w:rPr>
                <w:rFonts w:ascii="Arial" w:hAnsi="Arial" w:eastAsia="等线" w:cs="Arial"/>
                <w:sz w:val="22"/>
              </w:rPr>
              <w:t>具体表现</w:t>
            </w:r>
          </w:p>
        </w:tc>
      </w:tr>
      <w:tr w14:paraId="6849553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2D5D4541">
            <w:pPr>
              <w:spacing w:before="120" w:after="120" w:line="288" w:lineRule="auto"/>
              <w:ind w:left="0"/>
              <w:jc w:val="left"/>
            </w:pPr>
            <w:r>
              <w:rPr>
                <w:rFonts w:ascii="Arial" w:hAnsi="Arial" w:eastAsia="等线" w:cs="Arial"/>
                <w:sz w:val="22"/>
              </w:rPr>
              <w:t>多行业适配</w:t>
            </w:r>
          </w:p>
        </w:tc>
        <w:tc>
          <w:tcPr>
            <w:tcW w:w="3000" w:type="dxa"/>
            <w:tcMar>
              <w:top w:w="60" w:type="dxa"/>
              <w:left w:w="120" w:type="dxa"/>
              <w:bottom w:w="30" w:type="dxa"/>
              <w:right w:w="120" w:type="dxa"/>
            </w:tcMar>
          </w:tcPr>
          <w:p w14:paraId="0664CBB0">
            <w:pPr>
              <w:spacing w:before="120" w:after="120" w:line="288" w:lineRule="auto"/>
              <w:ind w:left="0"/>
              <w:jc w:val="left"/>
            </w:pPr>
            <w:r>
              <w:rPr>
                <w:rFonts w:ascii="Arial" w:hAnsi="Arial" w:eastAsia="等线" w:cs="Arial"/>
                <w:sz w:val="22"/>
              </w:rPr>
              <w:t>覆盖电力、交通运输等全领域行业，支持各行业精细化分类筛选、场景化精准匹配，适配多产业供需对接需求</w:t>
            </w:r>
          </w:p>
        </w:tc>
      </w:tr>
      <w:tr w14:paraId="3D6EAB2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9B7F226">
            <w:pPr>
              <w:spacing w:before="120" w:after="120" w:line="288" w:lineRule="auto"/>
              <w:ind w:left="0"/>
              <w:jc w:val="left"/>
            </w:pPr>
            <w:r>
              <w:rPr>
                <w:rFonts w:ascii="Arial" w:hAnsi="Arial" w:eastAsia="等线" w:cs="Arial"/>
                <w:sz w:val="22"/>
              </w:rPr>
              <w:t>多路径寻源</w:t>
            </w:r>
          </w:p>
        </w:tc>
        <w:tc>
          <w:tcPr>
            <w:tcW w:w="3000" w:type="dxa"/>
            <w:tcMar>
              <w:top w:w="60" w:type="dxa"/>
              <w:left w:w="120" w:type="dxa"/>
              <w:bottom w:w="30" w:type="dxa"/>
              <w:right w:w="120" w:type="dxa"/>
            </w:tcMar>
          </w:tcPr>
          <w:p w14:paraId="43E56F9D">
            <w:pPr>
              <w:spacing w:before="120" w:after="120" w:line="288" w:lineRule="auto"/>
              <w:ind w:left="0"/>
              <w:jc w:val="left"/>
            </w:pPr>
            <w:r>
              <w:rPr>
                <w:rFonts w:ascii="Arial" w:hAnsi="Arial" w:eastAsia="等线" w:cs="Arial"/>
                <w:sz w:val="22"/>
              </w:rPr>
              <w:t>搭建智能推荐、分类筛选、关键词搜索三种核心寻源路径，适配不同用户、不同场景的资源获取需求</w:t>
            </w:r>
          </w:p>
        </w:tc>
      </w:tr>
      <w:tr w14:paraId="5B42E74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31317FC8">
            <w:pPr>
              <w:spacing w:before="120" w:after="120" w:line="288" w:lineRule="auto"/>
              <w:ind w:left="0"/>
              <w:jc w:val="left"/>
            </w:pPr>
            <w:r>
              <w:rPr>
                <w:rFonts w:ascii="Arial" w:hAnsi="Arial" w:eastAsia="等线" w:cs="Arial"/>
                <w:sz w:val="22"/>
              </w:rPr>
              <w:t>全链路生态</w:t>
            </w:r>
          </w:p>
        </w:tc>
        <w:tc>
          <w:tcPr>
            <w:tcW w:w="3000" w:type="dxa"/>
            <w:tcMar>
              <w:top w:w="60" w:type="dxa"/>
              <w:left w:w="120" w:type="dxa"/>
              <w:bottom w:w="30" w:type="dxa"/>
              <w:right w:w="120" w:type="dxa"/>
            </w:tcMar>
          </w:tcPr>
          <w:p w14:paraId="20C22912">
            <w:pPr>
              <w:spacing w:before="120" w:after="120" w:line="288" w:lineRule="auto"/>
              <w:ind w:left="0"/>
              <w:jc w:val="left"/>
            </w:pPr>
            <w:r>
              <w:rPr>
                <w:rFonts w:ascii="Arial" w:hAnsi="Arial" w:eastAsia="等线" w:cs="Arial"/>
                <w:sz w:val="22"/>
              </w:rPr>
              <w:t>不止于基础项目供需对接，同步配套法律、金融、物流、人资等全维度生态服务，实现项目全周期闭环赋能</w:t>
            </w:r>
          </w:p>
        </w:tc>
      </w:tr>
      <w:tr w14:paraId="217F84C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33A4CFBA">
            <w:pPr>
              <w:spacing w:before="120" w:after="120" w:line="288" w:lineRule="auto"/>
              <w:ind w:left="0"/>
              <w:jc w:val="left"/>
            </w:pPr>
            <w:r>
              <w:rPr>
                <w:rFonts w:ascii="Arial" w:hAnsi="Arial" w:eastAsia="等线" w:cs="Arial"/>
                <w:sz w:val="22"/>
              </w:rPr>
              <w:t>跨域适配</w:t>
            </w:r>
          </w:p>
        </w:tc>
        <w:tc>
          <w:tcPr>
            <w:tcW w:w="3000" w:type="dxa"/>
            <w:tcMar>
              <w:top w:w="60" w:type="dxa"/>
              <w:left w:w="120" w:type="dxa"/>
              <w:bottom w:w="30" w:type="dxa"/>
              <w:right w:w="120" w:type="dxa"/>
            </w:tcMar>
          </w:tcPr>
          <w:p w14:paraId="2C275889">
            <w:pPr>
              <w:spacing w:before="120" w:after="120" w:line="288" w:lineRule="auto"/>
              <w:ind w:left="0"/>
              <w:jc w:val="left"/>
            </w:pPr>
            <w:r>
              <w:rPr>
                <w:rFonts w:ascii="Arial" w:hAnsi="Arial" w:eastAsia="等线" w:cs="Arial"/>
                <w:sz w:val="22"/>
              </w:rPr>
              <w:t>支持多语言、多币种结算、跨地域法规适配，可自动拓展国际项目与服务商资源池，适配全球化业务场景</w:t>
            </w:r>
          </w:p>
        </w:tc>
      </w:tr>
      <w:tr w14:paraId="10570A5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35F7C845">
            <w:pPr>
              <w:spacing w:before="120" w:after="120" w:line="288" w:lineRule="auto"/>
              <w:ind w:left="0"/>
              <w:jc w:val="left"/>
            </w:pPr>
            <w:r>
              <w:rPr>
                <w:rFonts w:ascii="Arial" w:hAnsi="Arial" w:eastAsia="等线" w:cs="Arial"/>
                <w:sz w:val="22"/>
              </w:rPr>
              <w:t>高效对接</w:t>
            </w:r>
          </w:p>
        </w:tc>
        <w:tc>
          <w:tcPr>
            <w:tcW w:w="3000" w:type="dxa"/>
            <w:tcMar>
              <w:top w:w="60" w:type="dxa"/>
              <w:left w:w="120" w:type="dxa"/>
              <w:bottom w:w="30" w:type="dxa"/>
              <w:right w:w="120" w:type="dxa"/>
            </w:tcMar>
          </w:tcPr>
          <w:p w14:paraId="7C3C1CDC">
            <w:pPr>
              <w:spacing w:before="120" w:after="120" w:line="288" w:lineRule="auto"/>
              <w:ind w:left="0"/>
              <w:jc w:val="left"/>
            </w:pPr>
            <w:r>
              <w:rPr>
                <w:rFonts w:ascii="Arial" w:hAnsi="Arial" w:eastAsia="等线" w:cs="Arial"/>
                <w:sz w:val="22"/>
              </w:rPr>
              <w:t>内置线上沟通、一键询价、商务洽谈功能，供需双方直连对接，无需依托第三方工具，大幅降低合作对接成本</w:t>
            </w:r>
          </w:p>
        </w:tc>
      </w:tr>
    </w:tbl>
    <w:p w14:paraId="218710CD">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A2917"/>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D4F7A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EE85308"/>
    <w:rsid w:val="43C91F8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2852</Words>
  <Characters>2874</Characters>
  <TotalTime>0</TotalTime>
  <ScaleCrop>false</ScaleCrop>
  <LinksUpToDate>false</LinksUpToDate>
  <CharactersWithSpaces>2888</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2026-05-26T08:51:00Z</dcterms:created>
  <dc:creator>Apache POI</dc:creator>
  <cp:lastModifiedBy>Administrator</cp:lastModifiedBy>
  <dcterms:modified xsi:type="dcterms:W3CDTF">2026-07-07T02:28:45Z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{"Label":"1","ContentProducer":"001191110102MACQD9K64010000","ProduceID":"7644120493675711667","ReservedCode1":"","ContentPropagator":"","PropagateID":"","ReservedCode2":""}</vt:lpwstr>
  </property>
  <property fmtid="{D5CDD505-2E9C-101B-9397-08002B2CF9AE}" pid="3" name="KSOTemplateDocerSaveRecord">
    <vt:lpwstr>eyJoZGlkIjoiN2VkMjg5ZTU5YWNhMTEwOWI3ZjhiYmM1MTQyMmZlYTQiLCJ1c2VySWQiOiI4Nzc5MjEyODEifQ==</vt:lpwstr>
  </property>
  <property fmtid="{D5CDD505-2E9C-101B-9397-08002B2CF9AE}" pid="4" name="KSOProductBuildVer">
    <vt:lpwstr>2052-12.1.0.26895</vt:lpwstr>
  </property>
  <property fmtid="{D5CDD505-2E9C-101B-9397-08002B2CF9AE}" pid="5" name="ICV">
    <vt:lpwstr>4B9DD9C3CC244B4DB9D8AEEE64C03241_13</vt:lpwstr>
  </property>
</Properties>
</file>