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ag6ipx9ive0" w:id="0"/>
      <w:bookmarkEnd w:id="0"/>
      <w:r w:rsidDel="00000000" w:rsidR="00000000" w:rsidRPr="00000000">
        <w:rPr>
          <w:rtl w:val="0"/>
        </w:rPr>
        <w:t xml:space="preserve">NLP</w:t>
      </w:r>
      <w:r w:rsidDel="00000000" w:rsidR="00000000" w:rsidRPr="00000000">
        <w:rPr>
          <w:rtl w:val="0"/>
        </w:rPr>
      </w:r>
    </w:p>
    <w:p w:rsidR="00000000" w:rsidDel="00000000" w:rsidP="00000000" w:rsidRDefault="00000000" w:rsidRPr="00000000" w14:paraId="00000002">
      <w:pPr>
        <w:pStyle w:val="Subtitle"/>
        <w:rPr/>
      </w:pPr>
      <w:bookmarkStart w:colFirst="0" w:colLast="0" w:name="_vbq2k8xl6y7i" w:id="1"/>
      <w:bookmarkEnd w:id="1"/>
      <w:r w:rsidDel="00000000" w:rsidR="00000000" w:rsidRPr="00000000">
        <w:rPr>
          <w:rtl w:val="0"/>
        </w:rPr>
        <w:t xml:space="preserve">Case Study</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Title"/>
        <w:rPr/>
      </w:pPr>
      <w:bookmarkStart w:colFirst="0" w:colLast="0" w:name="_lzqnc2ugvi0a" w:id="2"/>
      <w:bookmarkEnd w:id="2"/>
      <w:r w:rsidDel="00000000" w:rsidR="00000000" w:rsidRPr="00000000">
        <w:rPr>
          <w:rtl w:val="0"/>
        </w:rPr>
        <w:t xml:space="preserve">Text Summarization with Attention</w:t>
      </w:r>
      <w:r w:rsidDel="00000000" w:rsidR="00000000" w:rsidRPr="00000000">
        <w:rPr>
          <w:rtl w:val="0"/>
        </w:rPr>
      </w:r>
    </w:p>
    <w:p w:rsidR="00000000" w:rsidDel="00000000" w:rsidP="00000000" w:rsidRDefault="00000000" w:rsidRPr="00000000" w14:paraId="00000004">
      <w:pPr>
        <w:pStyle w:val="Heading1"/>
        <w:rPr>
          <w:rFonts w:ascii="Helvetica Neue" w:cs="Helvetica Neue" w:eastAsia="Helvetica Neue" w:hAnsi="Helvetica Neue"/>
        </w:rPr>
      </w:pPr>
      <w:bookmarkStart w:colFirst="0" w:colLast="0" w:name="_9xsby0u5p25l" w:id="3"/>
      <w:bookmarkEnd w:id="3"/>
      <w:r w:rsidDel="00000000" w:rsidR="00000000" w:rsidRPr="00000000">
        <w:rPr>
          <w:rtl w:val="0"/>
        </w:rPr>
        <w:t xml:space="preserve">Domain</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Articles &amp; Blogs</w:t>
      </w:r>
    </w:p>
    <w:p w:rsidR="00000000" w:rsidDel="00000000" w:rsidP="00000000" w:rsidRDefault="00000000" w:rsidRPr="00000000" w14:paraId="00000006">
      <w:pPr>
        <w:pStyle w:val="Heading1"/>
        <w:rPr/>
      </w:pPr>
      <w:bookmarkStart w:colFirst="0" w:colLast="0" w:name="_xqvbiq0a79" w:id="4"/>
      <w:bookmarkEnd w:id="4"/>
      <w:r w:rsidDel="00000000" w:rsidR="00000000" w:rsidRPr="00000000">
        <w:rPr>
          <w:rtl w:val="0"/>
        </w:rPr>
        <w:t xml:space="preserve">Business Context</w:t>
      </w:r>
    </w:p>
    <w:p w:rsidR="00000000" w:rsidDel="00000000" w:rsidP="00000000" w:rsidRDefault="00000000" w:rsidRPr="00000000" w14:paraId="00000007">
      <w:pPr>
        <w:rPr/>
      </w:pPr>
      <w:r w:rsidDel="00000000" w:rsidR="00000000" w:rsidRPr="00000000">
        <w:rPr>
          <w:rtl w:val="0"/>
        </w:rPr>
        <w:t xml:space="preserve">Text summarization is a way to condense a large amount of information into a concise form by the process of selection/generation of important information and discarding unimportant and redundant information. With the amount of textual information present in the world wide web, the area of text summarization is becoming very important.</w:t>
      </w:r>
    </w:p>
    <w:p w:rsidR="00000000" w:rsidDel="00000000" w:rsidP="00000000" w:rsidRDefault="00000000" w:rsidRPr="00000000" w14:paraId="00000008">
      <w:pPr>
        <w:pStyle w:val="Heading1"/>
        <w:rPr/>
      </w:pPr>
      <w:bookmarkStart w:colFirst="0" w:colLast="0" w:name="_47m9comak8ka" w:id="5"/>
      <w:bookmarkEnd w:id="5"/>
      <w:r w:rsidDel="00000000" w:rsidR="00000000" w:rsidRPr="00000000">
        <w:rPr>
          <w:rtl w:val="0"/>
        </w:rPr>
        <w:t xml:space="preserve">Objective</w:t>
      </w:r>
    </w:p>
    <w:p w:rsidR="00000000" w:rsidDel="00000000" w:rsidP="00000000" w:rsidRDefault="00000000" w:rsidRPr="00000000" w14:paraId="00000009">
      <w:pPr>
        <w:rPr/>
      </w:pPr>
      <w:r w:rsidDel="00000000" w:rsidR="00000000" w:rsidRPr="00000000">
        <w:rPr>
          <w:rtl w:val="0"/>
        </w:rPr>
        <w:t xml:space="preserve">The objective of the case study is to learn abstractive text summarization using articles from WikiHow.</w:t>
      </w:r>
    </w:p>
    <w:p w:rsidR="00000000" w:rsidDel="00000000" w:rsidP="00000000" w:rsidRDefault="00000000" w:rsidRPr="00000000" w14:paraId="0000000A">
      <w:pPr>
        <w:pStyle w:val="Heading1"/>
        <w:rPr/>
      </w:pPr>
      <w:bookmarkStart w:colFirst="0" w:colLast="0" w:name="_7l4ysynkg6nw" w:id="6"/>
      <w:bookmarkEnd w:id="6"/>
      <w:r w:rsidDel="00000000" w:rsidR="00000000" w:rsidRPr="00000000">
        <w:rPr>
          <w:rtl w:val="0"/>
        </w:rPr>
        <w:t xml:space="preserve">Dataset</w:t>
      </w:r>
    </w:p>
    <w:p w:rsidR="00000000" w:rsidDel="00000000" w:rsidP="00000000" w:rsidRDefault="00000000" w:rsidRPr="00000000" w14:paraId="0000000B">
      <w:pPr>
        <w:rPr/>
      </w:pPr>
      <w:r w:rsidDel="00000000" w:rsidR="00000000" w:rsidRPr="00000000">
        <w:rPr>
          <w:rtl w:val="0"/>
        </w:rPr>
        <w:t xml:space="preserve">WikiHow is a new large-scale dataset using the online WikiHow (http://www.wikihow.com/) knowledge base.</w:t>
      </w:r>
    </w:p>
    <w:p w:rsidR="00000000" w:rsidDel="00000000" w:rsidP="00000000" w:rsidRDefault="00000000" w:rsidRPr="00000000" w14:paraId="0000000C">
      <w:pPr>
        <w:rPr/>
      </w:pPr>
      <w:r w:rsidDel="00000000" w:rsidR="00000000" w:rsidRPr="00000000">
        <w:rPr>
          <w:rtl w:val="0"/>
        </w:rPr>
        <w:t xml:space="preserve">There are two features: - text: wikiHow answers texts. - headline: bold lines as summary.</w:t>
      </w:r>
    </w:p>
    <w:p w:rsidR="00000000" w:rsidDel="00000000" w:rsidP="00000000" w:rsidRDefault="00000000" w:rsidRPr="00000000" w14:paraId="0000000D">
      <w:pPr>
        <w:pStyle w:val="Heading1"/>
        <w:rPr/>
      </w:pPr>
      <w:bookmarkStart w:colFirst="0" w:colLast="0" w:name="_gws8uw1z5gwg" w:id="7"/>
      <w:bookmarkEnd w:id="7"/>
      <w:r w:rsidDel="00000000" w:rsidR="00000000" w:rsidRPr="00000000">
        <w:rPr>
          <w:rtl w:val="0"/>
        </w:rPr>
        <w:t xml:space="preserve">Steps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Load the dataset</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Preprocess text</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Check the distribution of data</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Split data into train and test set</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Apply TensorFlow tokenizer</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Pad sequences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Define model</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Compile model</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Fit the model</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Create a dictionary to convert word to index</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Add inference for encoder-decoder</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Convert features to text</w:t>
      </w:r>
    </w:p>
    <w:p w:rsidR="00000000" w:rsidDel="00000000" w:rsidP="00000000" w:rsidRDefault="00000000" w:rsidRPr="00000000" w14:paraId="0000001A">
      <w:pPr>
        <w:pStyle w:val="Heading1"/>
        <w:rPr/>
      </w:pPr>
      <w:bookmarkStart w:colFirst="0" w:colLast="0" w:name="_biszocqyrw6g" w:id="8"/>
      <w:bookmarkEnd w:id="8"/>
      <w:r w:rsidDel="00000000" w:rsidR="00000000" w:rsidRPr="00000000">
        <w:rPr>
          <w:rtl w:val="0"/>
        </w:rPr>
        <w:t xml:space="preserve">Further Questions (Optional)</w:t>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Try implementing Bi-Directional LSTM which is capable of capturing the context from both the directions and results in a better context vector</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Use the beam search strategy for decoding the test sequence instead of using the greedy approach (argmax)</w:t>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Evaluate the performance of your model based on the BLEU score</w:t>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Implement pointer-generator networks and coverage mechanisms</w:t>
      </w:r>
    </w:p>
    <w:p w:rsidR="00000000" w:rsidDel="00000000" w:rsidP="00000000" w:rsidRDefault="00000000" w:rsidRPr="00000000" w14:paraId="0000001F">
      <w:pPr>
        <w:pStyle w:val="Heading1"/>
        <w:rPr/>
      </w:pPr>
      <w:bookmarkStart w:colFirst="0" w:colLast="0" w:name="_o1xw9b4i6qo" w:id="9"/>
      <w:bookmarkEnd w:id="9"/>
      <w:r w:rsidDel="00000000" w:rsidR="00000000" w:rsidRPr="00000000">
        <w:rPr>
          <w:rtl w:val="0"/>
        </w:rPr>
        <w:t xml:space="preserve">Learning Outcomes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Natural Language Processing</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Abstractive text summarization</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Encoder-decoder architecture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LSTM</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Attention models</w:t>
      </w:r>
      <w:r w:rsidDel="00000000" w:rsidR="00000000" w:rsidRPr="00000000">
        <w:rPr>
          <w:rtl w:val="0"/>
        </w:rPr>
      </w:r>
    </w:p>
    <w:sectPr>
      <w:headerReference r:id="rId6" w:type="default"/>
      <w:footerReference r:id="rId7" w:type="default"/>
      <w:pgSz w:h="15840" w:w="12240"/>
      <w:pgMar w:bottom="720" w:top="720" w:left="720" w:right="72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rPr>
        <w:rtl w:val="0"/>
      </w:rPr>
    </w:r>
  </w:p>
  <w:p w:rsidR="00000000" w:rsidDel="00000000" w:rsidP="00000000" w:rsidRDefault="00000000" w:rsidRPr="00000000" w14:paraId="00000026">
    <w:pPr>
      <w:widowControl w:val="0"/>
      <w:spacing w:line="245.99999999999997" w:lineRule="auto"/>
      <w:ind w:left="0" w:firstLine="0"/>
      <w:jc w:val="center"/>
      <w:rPr>
        <w:rFonts w:ascii="Helvetica Neue" w:cs="Helvetica Neue" w:eastAsia="Helvetica Neue" w:hAnsi="Helvetica Neue"/>
        <w:color w:val="666666"/>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widowControl w:val="0"/>
      <w:spacing w:line="245.99999999999997" w:lineRule="auto"/>
      <w:ind w:left="0" w:firstLine="0"/>
      <w:jc w:val="center"/>
      <w:rPr>
        <w:color w:val="666666"/>
        <w:sz w:val="16"/>
        <w:szCs w:val="16"/>
      </w:rPr>
    </w:pPr>
    <w:r w:rsidDel="00000000" w:rsidR="00000000" w:rsidRPr="00000000">
      <w:rPr>
        <w:rFonts w:ascii="Helvetica Neue" w:cs="Helvetica Neue" w:eastAsia="Helvetica Neue" w:hAnsi="Helvetica Neue"/>
        <w:color w:val="666666"/>
        <w:sz w:val="16"/>
        <w:szCs w:val="16"/>
        <w:rtl w:val="0"/>
      </w:rPr>
      <w:t xml:space="preserve">Proprietary content. © Great Learning. All Rights Reserved. Unauthorized use or distribution prohibited.                                                                        </w:t>
    </w:r>
    <w:r w:rsidDel="00000000" w:rsidR="00000000" w:rsidRPr="00000000">
      <w:rPr>
        <w:rFonts w:ascii="Helvetica Neue" w:cs="Helvetica Neue" w:eastAsia="Helvetica Neue" w:hAnsi="Helvetica Neue"/>
        <w:color w:val="66666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jc w:val="right"/>
      <w:rPr/>
    </w:pPr>
    <w:r w:rsidDel="00000000" w:rsidR="00000000" w:rsidRPr="00000000">
      <w:rPr/>
      <w:drawing>
        <wp:inline distB="0" distT="0" distL="0" distR="0">
          <wp:extent cx="1321960" cy="259875"/>
          <wp:effectExtent b="0" l="0" r="0" t="0"/>
          <wp:docPr id="1" name="image1.png"/>
          <a:graphic>
            <a:graphicData uri="http://schemas.openxmlformats.org/drawingml/2006/picture">
              <pic:pic>
                <pic:nvPicPr>
                  <pic:cNvPr id="0" name="image1.png"/>
                  <pic:cNvPicPr preferRelativeResize="0"/>
                </pic:nvPicPr>
                <pic:blipFill>
                  <a:blip r:embed="rId1"/>
                  <a:srcRect b="5474" l="0" r="0" t="5474"/>
                  <a:stretch>
                    <a:fillRect/>
                  </a:stretch>
                </pic:blipFill>
                <pic:spPr>
                  <a:xfrm>
                    <a:off x="0" y="0"/>
                    <a:ext cx="1321960" cy="2598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Helvetica Neue" w:cs="Helvetica Neue" w:eastAsia="Helvetica Neue" w:hAnsi="Helvetica Neue"/>
      <w:sz w:val="52"/>
      <w:szCs w:val="52"/>
    </w:rPr>
  </w:style>
  <w:style w:type="paragraph" w:styleId="Subtitle">
    <w:name w:val="Subtitle"/>
    <w:basedOn w:val="Normal"/>
    <w:next w:val="Normal"/>
    <w:pPr>
      <w:keepNext w:val="1"/>
      <w:keepLines w:val="1"/>
      <w:spacing w:after="320" w:lineRule="auto"/>
    </w:pPr>
    <w:rPr>
      <w:rFonts w:ascii="Helvetica Neue" w:cs="Helvetica Neue" w:eastAsia="Helvetica Neue" w:hAnsi="Helvetica Neue"/>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