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B900" w14:textId="7B22FE14" w:rsidR="00D57074" w:rsidRPr="00295B70" w:rsidRDefault="00295B70">
      <w:pPr>
        <w:rPr>
          <w:b/>
          <w:bCs/>
        </w:rPr>
      </w:pPr>
      <w:r w:rsidRPr="00295B70">
        <w:rPr>
          <w:b/>
          <w:bCs/>
        </w:rPr>
        <w:t>Claim Limit in Payroll ADP Portal –</w:t>
      </w:r>
    </w:p>
    <w:p w14:paraId="0EB2539D" w14:textId="48C794A8" w:rsidR="00295B70" w:rsidRDefault="00295B70">
      <w:r>
        <w:rPr>
          <w:noProof/>
        </w:rPr>
        <w:drawing>
          <wp:inline distT="0" distB="0" distL="0" distR="0" wp14:anchorId="09D00855" wp14:editId="066E1927">
            <wp:extent cx="3033422" cy="32596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628" cy="32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04F" w14:textId="6ECC6791" w:rsidR="00295B70" w:rsidRDefault="00295B70">
      <w:r>
        <w:t>Actual Allocation as per the current salary –</w:t>
      </w:r>
    </w:p>
    <w:p w14:paraId="4D562ADB" w14:textId="1E7CD740" w:rsidR="00295B70" w:rsidRDefault="00295B70">
      <w:r>
        <w:rPr>
          <w:noProof/>
        </w:rPr>
        <w:drawing>
          <wp:inline distT="0" distB="0" distL="0" distR="0" wp14:anchorId="365A7696" wp14:editId="36AC7B93">
            <wp:extent cx="5943600" cy="2303145"/>
            <wp:effectExtent l="0" t="0" r="0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AFA4" w14:textId="77777777" w:rsidR="00295B70" w:rsidRDefault="00295B70"/>
    <w:sectPr w:rsidR="0029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70"/>
    <w:rsid w:val="00295B70"/>
    <w:rsid w:val="00D5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F445"/>
  <w15:chartTrackingRefBased/>
  <w15:docId w15:val="{AD708767-1E09-4D32-82FE-4BEFD7F9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1</cp:revision>
  <dcterms:created xsi:type="dcterms:W3CDTF">2022-02-28T04:05:00Z</dcterms:created>
  <dcterms:modified xsi:type="dcterms:W3CDTF">2022-02-28T04:07:00Z</dcterms:modified>
</cp:coreProperties>
</file>