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B3980" w14:textId="77777777" w:rsidR="00ED16E0" w:rsidRDefault="00000000">
      <w:pPr>
        <w:spacing w:line="240" w:lineRule="auto"/>
        <w:jc w:val="center"/>
      </w:pPr>
      <w:r>
        <w:t>STATE OF WISCONSIN</w:t>
      </w:r>
    </w:p>
    <w:p w14:paraId="7789C7AD" w14:textId="77777777" w:rsidR="00ED16E0" w:rsidRDefault="00ED16E0">
      <w:pPr>
        <w:spacing w:line="240" w:lineRule="auto"/>
      </w:pPr>
    </w:p>
    <w:p w14:paraId="7BBE326D" w14:textId="77777777" w:rsidR="00ED16E0" w:rsidRDefault="00000000">
      <w:pPr>
        <w:spacing w:line="240" w:lineRule="auto"/>
        <w:jc w:val="center"/>
      </w:pPr>
      <w:r>
        <w:t>COURT OF APPEALS</w:t>
      </w:r>
    </w:p>
    <w:p w14:paraId="4AA18618" w14:textId="77777777" w:rsidR="00ED16E0" w:rsidRDefault="00ED16E0">
      <w:pPr>
        <w:spacing w:line="240" w:lineRule="auto"/>
        <w:jc w:val="center"/>
      </w:pPr>
    </w:p>
    <w:p w14:paraId="31A2225B" w14:textId="77777777" w:rsidR="00ED16E0" w:rsidRDefault="00000000">
      <w:pPr>
        <w:spacing w:line="240" w:lineRule="auto"/>
        <w:jc w:val="center"/>
      </w:pPr>
      <w:r>
        <w:t>DISTRICT II</w:t>
      </w:r>
    </w:p>
    <w:p w14:paraId="340CDC85" w14:textId="77777777" w:rsidR="00ED16E0" w:rsidRDefault="00ED16E0">
      <w:pPr>
        <w:spacing w:line="240" w:lineRule="auto"/>
        <w:jc w:val="center"/>
      </w:pPr>
    </w:p>
    <w:p w14:paraId="6C749D86" w14:textId="77777777" w:rsidR="00ED16E0" w:rsidRDefault="00000000">
      <w:pPr>
        <w:spacing w:line="240" w:lineRule="auto"/>
        <w:jc w:val="center"/>
      </w:pPr>
      <w:r>
        <w:rPr>
          <w:smallCaps/>
        </w:rPr>
        <w:t>CASE NO. 2025AP002377 – CR</w:t>
      </w:r>
    </w:p>
    <w:p w14:paraId="50CC1B42" w14:textId="77777777" w:rsidR="00ED16E0" w:rsidRDefault="00000000">
      <w:pPr>
        <w:tabs>
          <w:tab w:val="right" w:pos="6480"/>
        </w:tabs>
        <w:spacing w:line="240" w:lineRule="auto"/>
        <w:rPr>
          <w:u w:val="single"/>
        </w:rPr>
      </w:pPr>
      <w:r>
        <w:rPr>
          <w:u w:val="single"/>
        </w:rPr>
        <w:tab/>
      </w:r>
    </w:p>
    <w:p w14:paraId="413E9D4D" w14:textId="77777777" w:rsidR="00ED16E0" w:rsidRDefault="00ED16E0">
      <w:pPr>
        <w:spacing w:line="240" w:lineRule="auto"/>
        <w:rPr>
          <w:u w:val="single"/>
        </w:rPr>
      </w:pPr>
    </w:p>
    <w:p w14:paraId="1A256326" w14:textId="77777777" w:rsidR="00ED16E0" w:rsidRDefault="00000000">
      <w:pPr>
        <w:spacing w:line="240" w:lineRule="auto"/>
      </w:pPr>
      <w:r>
        <w:t>STATE OF WISCONSIN,</w:t>
      </w:r>
    </w:p>
    <w:p w14:paraId="275969EB" w14:textId="77777777" w:rsidR="00ED16E0" w:rsidRDefault="00ED16E0">
      <w:pPr>
        <w:spacing w:line="240" w:lineRule="auto"/>
      </w:pPr>
    </w:p>
    <w:p w14:paraId="2C41304B" w14:textId="77777777" w:rsidR="00ED16E0" w:rsidRDefault="00000000">
      <w:pPr>
        <w:spacing w:line="240" w:lineRule="auto"/>
      </w:pPr>
      <w:r>
        <w:tab/>
      </w:r>
      <w:r>
        <w:tab/>
      </w:r>
      <w:r>
        <w:tab/>
        <w:t>Plaintiff-Respondent,</w:t>
      </w:r>
    </w:p>
    <w:p w14:paraId="5BE67181" w14:textId="77777777" w:rsidR="00ED16E0" w:rsidRDefault="00ED16E0">
      <w:pPr>
        <w:spacing w:line="240" w:lineRule="auto"/>
      </w:pPr>
    </w:p>
    <w:p w14:paraId="329D4DE9" w14:textId="77777777" w:rsidR="00ED16E0" w:rsidRDefault="00000000">
      <w:pPr>
        <w:spacing w:line="240" w:lineRule="auto"/>
      </w:pPr>
      <w:r>
        <w:tab/>
        <w:t>v.</w:t>
      </w:r>
    </w:p>
    <w:p w14:paraId="57C2BAA3" w14:textId="77777777" w:rsidR="00ED16E0" w:rsidRDefault="00ED16E0">
      <w:pPr>
        <w:spacing w:line="240" w:lineRule="auto"/>
      </w:pPr>
    </w:p>
    <w:p w14:paraId="647ED4A2" w14:textId="77777777" w:rsidR="00ED16E0" w:rsidRDefault="00000000">
      <w:pPr>
        <w:spacing w:line="240" w:lineRule="auto"/>
      </w:pPr>
      <w:r>
        <w:rPr>
          <w:smallCaps/>
        </w:rPr>
        <w:t>JEFFREY JAMES CHRISTOPHERSON,</w:t>
      </w:r>
    </w:p>
    <w:p w14:paraId="70B02763" w14:textId="77777777" w:rsidR="00ED16E0" w:rsidRDefault="00ED16E0">
      <w:pPr>
        <w:spacing w:line="240" w:lineRule="auto"/>
      </w:pPr>
    </w:p>
    <w:p w14:paraId="30E3E751" w14:textId="77777777" w:rsidR="00ED16E0" w:rsidRDefault="00000000">
      <w:pPr>
        <w:spacing w:line="240" w:lineRule="auto"/>
      </w:pPr>
      <w:r>
        <w:tab/>
      </w:r>
      <w:r>
        <w:tab/>
      </w:r>
      <w:r>
        <w:tab/>
        <w:t>Defendant-Appellant.</w:t>
      </w:r>
    </w:p>
    <w:p w14:paraId="322DED10" w14:textId="77777777" w:rsidR="00ED16E0" w:rsidRDefault="00000000">
      <w:pPr>
        <w:tabs>
          <w:tab w:val="right" w:pos="6480"/>
        </w:tabs>
        <w:spacing w:line="240" w:lineRule="auto"/>
        <w:rPr>
          <w:u w:val="single"/>
        </w:rPr>
      </w:pPr>
      <w:r>
        <w:rPr>
          <w:u w:val="single"/>
        </w:rPr>
        <w:tab/>
      </w:r>
    </w:p>
    <w:p w14:paraId="26EC421A" w14:textId="77777777" w:rsidR="00ED16E0" w:rsidRDefault="00000000">
      <w:pPr>
        <w:spacing w:before="120" w:line="240" w:lineRule="auto"/>
        <w:ind w:firstLine="720"/>
        <w:jc w:val="center"/>
      </w:pPr>
      <w:r>
        <w:t>On an Appeal from a Judgment of Conviction, Entered in the Calumet County Circuit Court, the Honorable Carey Reed, Presiding</w:t>
      </w:r>
    </w:p>
    <w:p w14:paraId="50B09744" w14:textId="77777777" w:rsidR="00ED16E0" w:rsidRDefault="00000000">
      <w:pPr>
        <w:tabs>
          <w:tab w:val="right" w:pos="6480"/>
        </w:tabs>
        <w:spacing w:line="240" w:lineRule="auto"/>
        <w:rPr>
          <w:u w:val="single"/>
        </w:rPr>
      </w:pPr>
      <w:r>
        <w:rPr>
          <w:u w:val="single"/>
        </w:rPr>
        <w:tab/>
      </w:r>
    </w:p>
    <w:p w14:paraId="21A7F1E8" w14:textId="77777777" w:rsidR="00ED16E0" w:rsidRDefault="00000000">
      <w:pPr>
        <w:pBdr>
          <w:top w:val="nil"/>
          <w:left w:val="nil"/>
          <w:bottom w:val="nil"/>
          <w:right w:val="nil"/>
          <w:between w:val="nil"/>
        </w:pBdr>
        <w:spacing w:before="120" w:line="240" w:lineRule="auto"/>
        <w:jc w:val="center"/>
        <w:rPr>
          <w:color w:val="000000"/>
        </w:rPr>
      </w:pPr>
      <w:r>
        <w:rPr>
          <w:color w:val="000000"/>
        </w:rPr>
        <w:t xml:space="preserve">BRIEF OF </w:t>
      </w:r>
      <w:r>
        <w:rPr>
          <w:color w:val="000000"/>
        </w:rPr>
        <w:br/>
        <w:t>DEFENDANT-APPELLANT</w:t>
      </w:r>
    </w:p>
    <w:p w14:paraId="42F821D4" w14:textId="77777777" w:rsidR="00ED16E0" w:rsidRDefault="00000000">
      <w:pPr>
        <w:tabs>
          <w:tab w:val="right" w:pos="6480"/>
        </w:tabs>
        <w:spacing w:line="240" w:lineRule="auto"/>
        <w:rPr>
          <w:u w:val="single"/>
        </w:rPr>
      </w:pPr>
      <w:r>
        <w:rPr>
          <w:u w:val="single"/>
        </w:rPr>
        <w:tab/>
      </w:r>
    </w:p>
    <w:p w14:paraId="4436A5F8" w14:textId="77777777" w:rsidR="00ED16E0" w:rsidRDefault="00000000">
      <w:pPr>
        <w:spacing w:before="240" w:line="240" w:lineRule="auto"/>
        <w:ind w:left="2160"/>
        <w:rPr>
          <w:smallCaps/>
        </w:rPr>
      </w:pPr>
      <w:r>
        <w:rPr>
          <w:smallCaps/>
        </w:rPr>
        <w:t>NICHOLAS G. SMITH</w:t>
      </w:r>
    </w:p>
    <w:p w14:paraId="7F8A00C5" w14:textId="77777777" w:rsidR="00ED16E0" w:rsidRDefault="00000000">
      <w:pPr>
        <w:spacing w:line="240" w:lineRule="auto"/>
        <w:ind w:left="2160"/>
      </w:pPr>
      <w:r>
        <w:t>Assistant State Public Defender</w:t>
      </w:r>
    </w:p>
    <w:p w14:paraId="6C4C720F" w14:textId="77777777" w:rsidR="00ED16E0" w:rsidRDefault="00000000">
      <w:pPr>
        <w:spacing w:line="240" w:lineRule="auto"/>
        <w:ind w:left="2160"/>
      </w:pPr>
      <w:r>
        <w:t>State Bar No. 1089586</w:t>
      </w:r>
    </w:p>
    <w:p w14:paraId="4BC0AA40" w14:textId="77777777" w:rsidR="00ED16E0" w:rsidRDefault="00ED16E0">
      <w:pPr>
        <w:spacing w:line="240" w:lineRule="auto"/>
        <w:ind w:left="2160"/>
      </w:pPr>
    </w:p>
    <w:p w14:paraId="39503C62" w14:textId="77777777" w:rsidR="00ED16E0" w:rsidRDefault="00000000">
      <w:pPr>
        <w:spacing w:line="240" w:lineRule="auto"/>
        <w:ind w:left="2160"/>
      </w:pPr>
      <w:r>
        <w:t>Office of the State Public Defender</w:t>
      </w:r>
    </w:p>
    <w:p w14:paraId="56293AFD" w14:textId="77777777" w:rsidR="00ED16E0" w:rsidRDefault="00000000">
      <w:pPr>
        <w:spacing w:line="240" w:lineRule="auto"/>
        <w:ind w:left="2160"/>
      </w:pPr>
      <w:r>
        <w:t>Post Office Box 7862</w:t>
      </w:r>
    </w:p>
    <w:p w14:paraId="06C8EF61" w14:textId="77777777" w:rsidR="00ED16E0" w:rsidRDefault="00000000">
      <w:pPr>
        <w:spacing w:line="240" w:lineRule="auto"/>
        <w:ind w:left="2160"/>
      </w:pPr>
      <w:r>
        <w:t>Madison, WI  53707-7862</w:t>
      </w:r>
    </w:p>
    <w:p w14:paraId="65940C31" w14:textId="77777777" w:rsidR="00ED16E0" w:rsidRDefault="00000000">
      <w:pPr>
        <w:spacing w:line="240" w:lineRule="auto"/>
        <w:ind w:left="2160"/>
      </w:pPr>
      <w:r>
        <w:t>(608) 261-5417</w:t>
      </w:r>
    </w:p>
    <w:p w14:paraId="7BA4973A" w14:textId="77777777" w:rsidR="00ED16E0" w:rsidRDefault="00000000">
      <w:pPr>
        <w:spacing w:line="240" w:lineRule="auto"/>
        <w:ind w:left="2160"/>
      </w:pPr>
      <w:r>
        <w:t xml:space="preserve">smithn@opd.wi.gov </w:t>
      </w:r>
    </w:p>
    <w:p w14:paraId="744A8DB2" w14:textId="77777777" w:rsidR="00ED16E0" w:rsidRDefault="00ED16E0">
      <w:pPr>
        <w:spacing w:line="240" w:lineRule="auto"/>
        <w:ind w:left="2160"/>
      </w:pPr>
    </w:p>
    <w:p w14:paraId="6B2AC8CB" w14:textId="77777777" w:rsidR="00ED16E0" w:rsidRDefault="00000000">
      <w:pPr>
        <w:spacing w:line="240" w:lineRule="auto"/>
        <w:ind w:left="2160"/>
        <w:jc w:val="left"/>
        <w:sectPr w:rsidR="00ED16E0">
          <w:footerReference w:type="default" r:id="rId9"/>
          <w:footerReference w:type="first" r:id="rId10"/>
          <w:pgSz w:w="12240" w:h="15840"/>
          <w:pgMar w:top="1800" w:right="2880" w:bottom="1800" w:left="2880" w:header="720" w:footer="720" w:gutter="0"/>
          <w:pgNumType w:start="1"/>
          <w:cols w:space="720"/>
          <w:titlePg/>
        </w:sectPr>
      </w:pPr>
      <w:r>
        <w:t>Attorney for Defendant-Appellant</w:t>
      </w:r>
    </w:p>
    <w:p w14:paraId="6365F992" w14:textId="77777777" w:rsidR="00ED16E0" w:rsidRDefault="00000000">
      <w:pPr>
        <w:jc w:val="center"/>
        <w:rPr>
          <w:b/>
          <w:bCs/>
        </w:rPr>
      </w:pPr>
      <w:r>
        <w:rPr>
          <w:b/>
          <w:bCs/>
        </w:rPr>
        <w:lastRenderedPageBreak/>
        <w:t>TABLE OF CONTENTS</w:t>
      </w:r>
    </w:p>
    <w:p w14:paraId="5A24508C" w14:textId="77777777" w:rsidR="00ED16E0" w:rsidRDefault="00000000">
      <w:pPr>
        <w:tabs>
          <w:tab w:val="right" w:pos="6480"/>
        </w:tabs>
        <w:spacing w:line="240" w:lineRule="auto"/>
      </w:pPr>
      <w:r>
        <w:tab/>
        <w:t>Page</w:t>
      </w:r>
    </w:p>
    <w:sdt>
      <w:sdtPr>
        <w:id w:val="-1024580588"/>
        <w:docPartObj>
          <w:docPartGallery w:val="Table of Contents"/>
          <w:docPartUnique/>
        </w:docPartObj>
      </w:sdtPr>
      <w:sdtContent>
        <w:p w14:paraId="3E32E406" w14:textId="77777777" w:rsidR="00ED16E0" w:rsidRDefault="00000000">
          <w:pPr>
            <w:pBdr>
              <w:top w:val="nil"/>
              <w:left w:val="nil"/>
              <w:bottom w:val="nil"/>
              <w:right w:val="nil"/>
              <w:between w:val="nil"/>
            </w:pBdr>
            <w:tabs>
              <w:tab w:val="right" w:pos="6480"/>
            </w:tabs>
            <w:spacing w:before="240" w:after="240" w:line="240" w:lineRule="auto"/>
            <w:ind w:right="720"/>
            <w:rPr>
              <w:rFonts w:ascii="Calibri" w:eastAsia="Calibri" w:hAnsi="Calibri" w:cs="Calibri"/>
              <w:color w:val="000000"/>
              <w:sz w:val="22"/>
              <w:szCs w:val="22"/>
            </w:rPr>
          </w:pPr>
          <w:r>
            <w:fldChar w:fldCharType="begin"/>
          </w:r>
          <w:r>
            <w:instrText xml:space="preserve"> TOC \h \u \z \t "Heading 1,1,Heading 2,2,Heading 3,3,Heading 4,4,Heading 5,5,"</w:instrText>
          </w:r>
          <w:r>
            <w:fldChar w:fldCharType="separate"/>
          </w:r>
          <w:r>
            <w:rPr>
              <w:smallCaps/>
              <w:color w:val="000000"/>
            </w:rPr>
            <w:t>Table of Authorities</w:t>
          </w:r>
          <w:r>
            <w:rPr>
              <w:smallCaps/>
              <w:color w:val="000000"/>
            </w:rPr>
            <w:tab/>
          </w:r>
          <w:r>
            <w:fldChar w:fldCharType="begin"/>
          </w:r>
          <w:r>
            <w:instrText xml:space="preserve"> PAGEREF _heading=h.8e4xr0srgldy \h </w:instrText>
          </w:r>
          <w:r>
            <w:fldChar w:fldCharType="separate"/>
          </w:r>
          <w:r>
            <w:rPr>
              <w:smallCaps/>
              <w:color w:val="000000"/>
            </w:rPr>
            <w:t>2</w:t>
          </w:r>
          <w:hyperlink w:anchor="_heading=h.8e4xr0srgldy" w:history="1"/>
        </w:p>
        <w:p w14:paraId="416299DD" w14:textId="77777777" w:rsidR="00ED16E0" w:rsidRDefault="00000000">
          <w:pPr>
            <w:pBdr>
              <w:top w:val="nil"/>
              <w:left w:val="nil"/>
              <w:bottom w:val="nil"/>
              <w:right w:val="nil"/>
              <w:between w:val="nil"/>
            </w:pBdr>
            <w:tabs>
              <w:tab w:val="right" w:pos="6480"/>
            </w:tabs>
            <w:spacing w:before="240" w:after="240" w:line="240" w:lineRule="auto"/>
            <w:ind w:right="720"/>
            <w:rPr>
              <w:rFonts w:ascii="Calibri" w:eastAsia="Calibri" w:hAnsi="Calibri" w:cs="Calibri"/>
              <w:color w:val="000000"/>
              <w:sz w:val="22"/>
              <w:szCs w:val="22"/>
            </w:rPr>
          </w:pPr>
          <w:r>
            <w:fldChar w:fldCharType="end"/>
          </w:r>
          <w:r>
            <w:rPr>
              <w:smallCaps/>
              <w:color w:val="000000"/>
            </w:rPr>
            <w:t>Issues Presented</w:t>
          </w:r>
          <w:r>
            <w:rPr>
              <w:smallCaps/>
              <w:color w:val="000000"/>
            </w:rPr>
            <w:tab/>
          </w:r>
          <w:r>
            <w:fldChar w:fldCharType="begin"/>
          </w:r>
          <w:r>
            <w:instrText xml:space="preserve"> PAGEREF _heading=h.y80q7d9a6jcu \h </w:instrText>
          </w:r>
          <w:r>
            <w:fldChar w:fldCharType="separate"/>
          </w:r>
          <w:r>
            <w:rPr>
              <w:smallCaps/>
              <w:color w:val="000000"/>
            </w:rPr>
            <w:t>3</w:t>
          </w:r>
          <w:hyperlink w:anchor="_heading=h.y80q7d9a6jcu" w:history="1"/>
        </w:p>
        <w:p w14:paraId="7EB58B66" w14:textId="77777777" w:rsidR="00ED16E0" w:rsidRDefault="00000000">
          <w:pPr>
            <w:pBdr>
              <w:top w:val="nil"/>
              <w:left w:val="nil"/>
              <w:bottom w:val="nil"/>
              <w:right w:val="nil"/>
              <w:between w:val="nil"/>
            </w:pBdr>
            <w:tabs>
              <w:tab w:val="right" w:pos="6480"/>
            </w:tabs>
            <w:spacing w:before="240" w:after="240" w:line="240" w:lineRule="auto"/>
            <w:ind w:right="720"/>
            <w:rPr>
              <w:rFonts w:ascii="Calibri" w:eastAsia="Calibri" w:hAnsi="Calibri" w:cs="Calibri"/>
              <w:color w:val="000000"/>
              <w:sz w:val="22"/>
              <w:szCs w:val="22"/>
            </w:rPr>
          </w:pPr>
          <w:r>
            <w:fldChar w:fldCharType="end"/>
          </w:r>
          <w:r>
            <w:rPr>
              <w:smallCaps/>
              <w:color w:val="000000"/>
            </w:rPr>
            <w:t>position on oral argument and publication</w:t>
          </w:r>
          <w:r>
            <w:rPr>
              <w:smallCaps/>
              <w:color w:val="000000"/>
            </w:rPr>
            <w:tab/>
          </w:r>
          <w:r>
            <w:fldChar w:fldCharType="begin"/>
          </w:r>
          <w:r>
            <w:instrText xml:space="preserve"> PAGEREF _heading=h.24e41m3oosay \h </w:instrText>
          </w:r>
          <w:r>
            <w:fldChar w:fldCharType="separate"/>
          </w:r>
          <w:r>
            <w:rPr>
              <w:smallCaps/>
              <w:color w:val="000000"/>
            </w:rPr>
            <w:t>3</w:t>
          </w:r>
          <w:hyperlink w:anchor="_heading=h.24e41m3oosay" w:history="1"/>
        </w:p>
        <w:p w14:paraId="15B1B946" w14:textId="77777777" w:rsidR="00ED16E0" w:rsidRDefault="00000000">
          <w:pPr>
            <w:pBdr>
              <w:top w:val="nil"/>
              <w:left w:val="nil"/>
              <w:bottom w:val="nil"/>
              <w:right w:val="nil"/>
              <w:between w:val="nil"/>
            </w:pBdr>
            <w:tabs>
              <w:tab w:val="right" w:pos="6480"/>
            </w:tabs>
            <w:spacing w:before="240" w:after="240" w:line="240" w:lineRule="auto"/>
            <w:ind w:right="720"/>
            <w:rPr>
              <w:rFonts w:ascii="Calibri" w:eastAsia="Calibri" w:hAnsi="Calibri" w:cs="Calibri"/>
              <w:color w:val="000000"/>
              <w:sz w:val="22"/>
              <w:szCs w:val="22"/>
            </w:rPr>
          </w:pPr>
          <w:r>
            <w:fldChar w:fldCharType="end"/>
          </w:r>
          <w:r>
            <w:rPr>
              <w:smallCaps/>
              <w:color w:val="000000"/>
            </w:rPr>
            <w:t>statement of the case and facts</w:t>
          </w:r>
          <w:r>
            <w:rPr>
              <w:smallCaps/>
              <w:color w:val="000000"/>
            </w:rPr>
            <w:tab/>
          </w:r>
          <w:r>
            <w:fldChar w:fldCharType="begin"/>
          </w:r>
          <w:r>
            <w:instrText xml:space="preserve"> PAGEREF _heading=h.40no0q3a5nba \h </w:instrText>
          </w:r>
          <w:r>
            <w:fldChar w:fldCharType="separate"/>
          </w:r>
          <w:r>
            <w:rPr>
              <w:smallCaps/>
              <w:color w:val="000000"/>
            </w:rPr>
            <w:t>3</w:t>
          </w:r>
          <w:hyperlink w:anchor="_heading=h.40no0q3a5nba" w:history="1"/>
        </w:p>
        <w:p w14:paraId="5E1D7796" w14:textId="77777777" w:rsidR="00ED16E0" w:rsidRDefault="00000000">
          <w:pPr>
            <w:pBdr>
              <w:top w:val="nil"/>
              <w:left w:val="nil"/>
              <w:bottom w:val="nil"/>
              <w:right w:val="nil"/>
              <w:between w:val="nil"/>
            </w:pBdr>
            <w:tabs>
              <w:tab w:val="right" w:pos="6480"/>
            </w:tabs>
            <w:spacing w:before="240" w:after="240" w:line="240" w:lineRule="auto"/>
            <w:ind w:right="720"/>
            <w:rPr>
              <w:rFonts w:ascii="Calibri" w:eastAsia="Calibri" w:hAnsi="Calibri" w:cs="Calibri"/>
              <w:color w:val="000000"/>
              <w:sz w:val="22"/>
              <w:szCs w:val="22"/>
            </w:rPr>
          </w:pPr>
          <w:r>
            <w:fldChar w:fldCharType="end"/>
          </w:r>
          <w:r>
            <w:rPr>
              <w:smallCaps/>
              <w:color w:val="000000"/>
            </w:rPr>
            <w:t>Argument</w:t>
          </w:r>
          <w:r>
            <w:rPr>
              <w:smallCaps/>
              <w:color w:val="000000"/>
            </w:rPr>
            <w:tab/>
          </w:r>
          <w:r>
            <w:fldChar w:fldCharType="begin"/>
          </w:r>
          <w:r>
            <w:instrText xml:space="preserve"> PAGEREF _heading=h.8m7t2d164c2h \h </w:instrText>
          </w:r>
          <w:r>
            <w:fldChar w:fldCharType="separate"/>
          </w:r>
          <w:r>
            <w:rPr>
              <w:smallCaps/>
              <w:color w:val="000000"/>
            </w:rPr>
            <w:t>3</w:t>
          </w:r>
          <w:hyperlink w:anchor="_heading=h.8m7t2d164c2h" w:history="1"/>
        </w:p>
        <w:p w14:paraId="2B81A86F" w14:textId="77777777" w:rsidR="00ED16E0" w:rsidRDefault="00000000">
          <w:pPr>
            <w:pBdr>
              <w:top w:val="nil"/>
              <w:left w:val="nil"/>
              <w:bottom w:val="nil"/>
              <w:right w:val="nil"/>
              <w:between w:val="nil"/>
            </w:pBdr>
            <w:tabs>
              <w:tab w:val="left" w:pos="900"/>
              <w:tab w:val="right" w:pos="6480"/>
            </w:tabs>
            <w:spacing w:before="240" w:after="240" w:line="240" w:lineRule="auto"/>
            <w:ind w:left="900" w:right="1080" w:hanging="540"/>
            <w:rPr>
              <w:rFonts w:ascii="Calibri" w:eastAsia="Calibri" w:hAnsi="Calibri" w:cs="Calibri"/>
              <w:color w:val="000000"/>
              <w:sz w:val="22"/>
              <w:szCs w:val="22"/>
            </w:rPr>
          </w:pPr>
          <w:r>
            <w:fldChar w:fldCharType="end"/>
          </w:r>
          <w:r>
            <w:rPr>
              <w:color w:val="000000"/>
            </w:rPr>
            <w:t>I.</w:t>
          </w:r>
          <w:r>
            <w:rPr>
              <w:rFonts w:ascii="Calibri" w:eastAsia="Calibri" w:hAnsi="Calibri" w:cs="Calibri"/>
              <w:color w:val="000000"/>
              <w:sz w:val="22"/>
              <w:szCs w:val="22"/>
            </w:rPr>
            <w:tab/>
          </w:r>
          <w:r>
            <w:rPr>
              <w:smallCaps/>
              <w:color w:val="000000"/>
            </w:rPr>
            <w:t>Issue</w:t>
          </w:r>
          <w:r>
            <w:rPr>
              <w:color w:val="000000"/>
            </w:rPr>
            <w:t xml:space="preserve"> 1.</w:t>
          </w:r>
          <w:r>
            <w:rPr>
              <w:color w:val="000000"/>
            </w:rPr>
            <w:tab/>
          </w:r>
          <w:r>
            <w:fldChar w:fldCharType="begin"/>
          </w:r>
          <w:r>
            <w:instrText xml:space="preserve"> PAGEREF _heading=h.6w5rquu610q8 \h </w:instrText>
          </w:r>
          <w:r>
            <w:fldChar w:fldCharType="separate"/>
          </w:r>
          <w:r>
            <w:rPr>
              <w:color w:val="000000"/>
            </w:rPr>
            <w:t>3</w:t>
          </w:r>
          <w:hyperlink w:anchor="_heading=h.6w5rquu610q8" w:history="1"/>
        </w:p>
        <w:p w14:paraId="2827763A" w14:textId="77777777" w:rsidR="00ED16E0" w:rsidRDefault="00000000">
          <w:pPr>
            <w:pBdr>
              <w:top w:val="nil"/>
              <w:left w:val="nil"/>
              <w:bottom w:val="nil"/>
              <w:right w:val="nil"/>
              <w:between w:val="nil"/>
            </w:pBdr>
            <w:tabs>
              <w:tab w:val="right" w:pos="6480"/>
              <w:tab w:val="left" w:pos="1620"/>
            </w:tabs>
            <w:spacing w:before="240" w:after="240" w:line="240" w:lineRule="auto"/>
            <w:ind w:left="1260" w:right="1080" w:hanging="360"/>
            <w:rPr>
              <w:rFonts w:ascii="Calibri" w:eastAsia="Calibri" w:hAnsi="Calibri" w:cs="Calibri"/>
              <w:color w:val="000000"/>
              <w:sz w:val="22"/>
              <w:szCs w:val="22"/>
            </w:rPr>
          </w:pPr>
          <w:r>
            <w:fldChar w:fldCharType="end"/>
          </w:r>
          <w:r>
            <w:rPr>
              <w:color w:val="000000"/>
            </w:rPr>
            <w:t>A.</w:t>
          </w:r>
          <w:r>
            <w:rPr>
              <w:rFonts w:ascii="Calibri" w:eastAsia="Calibri" w:hAnsi="Calibri" w:cs="Calibri"/>
              <w:color w:val="000000"/>
              <w:sz w:val="22"/>
              <w:szCs w:val="22"/>
            </w:rPr>
            <w:tab/>
          </w:r>
          <w:r>
            <w:rPr>
              <w:smallCaps/>
              <w:color w:val="000000"/>
            </w:rPr>
            <w:t>Subheading</w:t>
          </w:r>
          <w:r>
            <w:rPr>
              <w:color w:val="000000"/>
            </w:rPr>
            <w:t>.</w:t>
          </w:r>
          <w:r>
            <w:rPr>
              <w:color w:val="000000"/>
            </w:rPr>
            <w:tab/>
          </w:r>
          <w:r>
            <w:fldChar w:fldCharType="begin"/>
          </w:r>
          <w:r>
            <w:instrText xml:space="preserve"> PAGEREF _heading=h.9cxk6qskscn6 \h </w:instrText>
          </w:r>
          <w:r>
            <w:fldChar w:fldCharType="separate"/>
          </w:r>
          <w:r>
            <w:rPr>
              <w:color w:val="000000"/>
            </w:rPr>
            <w:t>3</w:t>
          </w:r>
          <w:hyperlink w:anchor="_heading=h.9cxk6qskscn6" w:history="1"/>
        </w:p>
        <w:p w14:paraId="0CEF68FD" w14:textId="77777777" w:rsidR="00ED16E0" w:rsidRDefault="00000000">
          <w:pPr>
            <w:pBdr>
              <w:top w:val="nil"/>
              <w:left w:val="nil"/>
              <w:bottom w:val="nil"/>
              <w:right w:val="nil"/>
              <w:between w:val="nil"/>
            </w:pBdr>
            <w:tabs>
              <w:tab w:val="right" w:pos="6480"/>
              <w:tab w:val="left" w:pos="1980"/>
            </w:tabs>
            <w:spacing w:before="240" w:after="240" w:line="240" w:lineRule="auto"/>
            <w:ind w:left="1620" w:right="720" w:hanging="360"/>
            <w:rPr>
              <w:rFonts w:ascii="Calibri" w:eastAsia="Calibri" w:hAnsi="Calibri" w:cs="Calibri"/>
              <w:smallCaps/>
              <w:color w:val="000000"/>
              <w:sz w:val="22"/>
              <w:szCs w:val="22"/>
            </w:rPr>
          </w:pPr>
          <w:r>
            <w:fldChar w:fldCharType="end"/>
          </w:r>
          <w:r>
            <w:rPr>
              <w:smallCaps/>
              <w:color w:val="000000"/>
            </w:rPr>
            <w:t>1.</w:t>
          </w:r>
          <w:r>
            <w:rPr>
              <w:rFonts w:ascii="Calibri" w:eastAsia="Calibri" w:hAnsi="Calibri" w:cs="Calibri"/>
              <w:smallCaps/>
              <w:color w:val="000000"/>
              <w:sz w:val="22"/>
              <w:szCs w:val="22"/>
            </w:rPr>
            <w:tab/>
          </w:r>
          <w:r>
            <w:rPr>
              <w:smallCaps/>
              <w:color w:val="000000"/>
            </w:rPr>
            <w:t>Sub-subheading.</w:t>
          </w:r>
          <w:r>
            <w:rPr>
              <w:smallCaps/>
              <w:color w:val="000000"/>
            </w:rPr>
            <w:tab/>
          </w:r>
          <w:r>
            <w:fldChar w:fldCharType="begin"/>
          </w:r>
          <w:r>
            <w:instrText xml:space="preserve"> PAGEREF _heading=h.to25ptuifq0r \h </w:instrText>
          </w:r>
          <w:r>
            <w:fldChar w:fldCharType="separate"/>
          </w:r>
          <w:r>
            <w:rPr>
              <w:smallCaps/>
              <w:color w:val="000000"/>
            </w:rPr>
            <w:t>3</w:t>
          </w:r>
          <w:hyperlink w:anchor="_heading=h.to25ptuifq0r" w:history="1"/>
        </w:p>
        <w:p w14:paraId="579B6430" w14:textId="77777777" w:rsidR="00ED16E0" w:rsidRDefault="00000000">
          <w:pPr>
            <w:pBdr>
              <w:top w:val="nil"/>
              <w:left w:val="nil"/>
              <w:bottom w:val="nil"/>
              <w:right w:val="nil"/>
              <w:between w:val="nil"/>
            </w:pBdr>
            <w:tabs>
              <w:tab w:val="right" w:pos="6480"/>
              <w:tab w:val="left" w:pos="3600"/>
            </w:tabs>
            <w:spacing w:before="240" w:after="240" w:line="240" w:lineRule="auto"/>
            <w:ind w:left="1980" w:right="720" w:hanging="360"/>
            <w:rPr>
              <w:rFonts w:ascii="Calibri" w:eastAsia="Calibri" w:hAnsi="Calibri" w:cs="Calibri"/>
              <w:smallCaps/>
              <w:color w:val="000000"/>
              <w:sz w:val="22"/>
              <w:szCs w:val="22"/>
            </w:rPr>
          </w:pPr>
          <w:r>
            <w:fldChar w:fldCharType="end"/>
          </w:r>
          <w:r>
            <w:rPr>
              <w:color w:val="000000"/>
            </w:rPr>
            <w:t>a</w:t>
          </w:r>
          <w:r>
            <w:rPr>
              <w:smallCaps/>
              <w:color w:val="000000"/>
            </w:rPr>
            <w:t>.</w:t>
          </w:r>
          <w:r>
            <w:rPr>
              <w:rFonts w:ascii="Calibri" w:eastAsia="Calibri" w:hAnsi="Calibri" w:cs="Calibri"/>
              <w:smallCaps/>
              <w:color w:val="000000"/>
              <w:sz w:val="22"/>
              <w:szCs w:val="22"/>
            </w:rPr>
            <w:tab/>
          </w:r>
          <w:r>
            <w:rPr>
              <w:smallCaps/>
              <w:color w:val="000000"/>
            </w:rPr>
            <w:t>Sub-sub-subheading.</w:t>
          </w:r>
          <w:r>
            <w:rPr>
              <w:smallCaps/>
              <w:color w:val="000000"/>
            </w:rPr>
            <w:tab/>
          </w:r>
          <w:r>
            <w:fldChar w:fldCharType="begin"/>
          </w:r>
          <w:r>
            <w:instrText xml:space="preserve"> PAGEREF _heading=h.xr4x51swdpz0 \h </w:instrText>
          </w:r>
          <w:r>
            <w:fldChar w:fldCharType="separate"/>
          </w:r>
          <w:r>
            <w:rPr>
              <w:smallCaps/>
              <w:color w:val="000000"/>
            </w:rPr>
            <w:t>3</w:t>
          </w:r>
          <w:hyperlink w:anchor="_heading=h.xr4x51swdpz0" w:history="1"/>
        </w:p>
        <w:p w14:paraId="7F5F5AB4" w14:textId="77777777" w:rsidR="00ED16E0" w:rsidRDefault="00000000">
          <w:pPr>
            <w:pBdr>
              <w:top w:val="nil"/>
              <w:left w:val="nil"/>
              <w:bottom w:val="nil"/>
              <w:right w:val="nil"/>
              <w:between w:val="nil"/>
            </w:pBdr>
            <w:tabs>
              <w:tab w:val="left" w:pos="900"/>
              <w:tab w:val="right" w:pos="6480"/>
            </w:tabs>
            <w:spacing w:before="240" w:after="240" w:line="240" w:lineRule="auto"/>
            <w:ind w:left="900" w:right="1080" w:hanging="540"/>
            <w:rPr>
              <w:rFonts w:ascii="Calibri" w:eastAsia="Calibri" w:hAnsi="Calibri" w:cs="Calibri"/>
              <w:smallCaps/>
              <w:color w:val="000000"/>
              <w:sz w:val="22"/>
              <w:szCs w:val="22"/>
            </w:rPr>
          </w:pPr>
          <w:r>
            <w:fldChar w:fldCharType="end"/>
          </w:r>
          <w:r>
            <w:rPr>
              <w:smallCaps/>
              <w:color w:val="000000"/>
            </w:rPr>
            <w:t>II.</w:t>
          </w:r>
          <w:r>
            <w:rPr>
              <w:rFonts w:ascii="Calibri" w:eastAsia="Calibri" w:hAnsi="Calibri" w:cs="Calibri"/>
              <w:smallCaps/>
              <w:color w:val="000000"/>
              <w:sz w:val="22"/>
              <w:szCs w:val="22"/>
            </w:rPr>
            <w:tab/>
          </w:r>
          <w:r>
            <w:rPr>
              <w:smallCaps/>
              <w:color w:val="000000"/>
            </w:rPr>
            <w:t>Issue 2.</w:t>
          </w:r>
          <w:r>
            <w:rPr>
              <w:smallCaps/>
              <w:color w:val="000000"/>
            </w:rPr>
            <w:tab/>
          </w:r>
          <w:r>
            <w:fldChar w:fldCharType="begin"/>
          </w:r>
          <w:r>
            <w:instrText xml:space="preserve"> PAGEREF _heading=h.xzhdvh55qgql \h </w:instrText>
          </w:r>
          <w:r>
            <w:fldChar w:fldCharType="separate"/>
          </w:r>
          <w:r>
            <w:rPr>
              <w:smallCaps/>
              <w:color w:val="000000"/>
            </w:rPr>
            <w:t>3</w:t>
          </w:r>
          <w:hyperlink w:anchor="_heading=h.xzhdvh55qgql" w:history="1"/>
        </w:p>
        <w:p w14:paraId="0827A05C" w14:textId="77777777" w:rsidR="00ED16E0" w:rsidRDefault="00000000">
          <w:pPr>
            <w:pBdr>
              <w:top w:val="nil"/>
              <w:left w:val="nil"/>
              <w:bottom w:val="nil"/>
              <w:right w:val="nil"/>
              <w:between w:val="nil"/>
            </w:pBdr>
            <w:tabs>
              <w:tab w:val="right" w:pos="6480"/>
              <w:tab w:val="left" w:pos="1620"/>
            </w:tabs>
            <w:spacing w:before="240" w:after="240" w:line="240" w:lineRule="auto"/>
            <w:ind w:left="1260" w:right="1080" w:hanging="360"/>
            <w:rPr>
              <w:rFonts w:ascii="Calibri" w:eastAsia="Calibri" w:hAnsi="Calibri" w:cs="Calibri"/>
              <w:color w:val="000000"/>
              <w:sz w:val="22"/>
              <w:szCs w:val="22"/>
            </w:rPr>
          </w:pPr>
          <w:r>
            <w:fldChar w:fldCharType="end"/>
          </w:r>
          <w:r>
            <w:rPr>
              <w:color w:val="000000"/>
            </w:rPr>
            <w:t>A.</w:t>
          </w:r>
          <w:r>
            <w:rPr>
              <w:rFonts w:ascii="Calibri" w:eastAsia="Calibri" w:hAnsi="Calibri" w:cs="Calibri"/>
              <w:color w:val="000000"/>
              <w:sz w:val="22"/>
              <w:szCs w:val="22"/>
            </w:rPr>
            <w:tab/>
          </w:r>
          <w:r>
            <w:rPr>
              <w:smallCaps/>
              <w:color w:val="000000"/>
            </w:rPr>
            <w:t>Subheading</w:t>
          </w:r>
          <w:r>
            <w:rPr>
              <w:color w:val="000000"/>
            </w:rPr>
            <w:t>.</w:t>
          </w:r>
          <w:r>
            <w:rPr>
              <w:color w:val="000000"/>
            </w:rPr>
            <w:tab/>
          </w:r>
          <w:r>
            <w:fldChar w:fldCharType="begin"/>
          </w:r>
          <w:r>
            <w:instrText xml:space="preserve"> PAGEREF _heading=h.2s1r72pfgnvb \h </w:instrText>
          </w:r>
          <w:r>
            <w:fldChar w:fldCharType="separate"/>
          </w:r>
          <w:r>
            <w:rPr>
              <w:color w:val="000000"/>
            </w:rPr>
            <w:t>4</w:t>
          </w:r>
          <w:hyperlink w:anchor="_heading=h.2s1r72pfgnvb" w:history="1"/>
        </w:p>
        <w:p w14:paraId="733F8B5D" w14:textId="77777777" w:rsidR="00ED16E0" w:rsidRDefault="00000000">
          <w:pPr>
            <w:pBdr>
              <w:top w:val="nil"/>
              <w:left w:val="nil"/>
              <w:bottom w:val="nil"/>
              <w:right w:val="nil"/>
              <w:between w:val="nil"/>
            </w:pBdr>
            <w:tabs>
              <w:tab w:val="right" w:pos="6480"/>
              <w:tab w:val="left" w:pos="1980"/>
            </w:tabs>
            <w:spacing w:before="240" w:after="240" w:line="240" w:lineRule="auto"/>
            <w:ind w:left="1620" w:right="720" w:hanging="360"/>
            <w:rPr>
              <w:rFonts w:ascii="Calibri" w:eastAsia="Calibri" w:hAnsi="Calibri" w:cs="Calibri"/>
              <w:smallCaps/>
              <w:color w:val="000000"/>
              <w:sz w:val="22"/>
              <w:szCs w:val="22"/>
            </w:rPr>
          </w:pPr>
          <w:r>
            <w:fldChar w:fldCharType="end"/>
          </w:r>
          <w:r>
            <w:rPr>
              <w:smallCaps/>
              <w:color w:val="000000"/>
            </w:rPr>
            <w:t>1.</w:t>
          </w:r>
          <w:r>
            <w:rPr>
              <w:rFonts w:ascii="Calibri" w:eastAsia="Calibri" w:hAnsi="Calibri" w:cs="Calibri"/>
              <w:smallCaps/>
              <w:color w:val="000000"/>
              <w:sz w:val="22"/>
              <w:szCs w:val="22"/>
            </w:rPr>
            <w:tab/>
          </w:r>
          <w:r>
            <w:rPr>
              <w:smallCaps/>
              <w:color w:val="000000"/>
            </w:rPr>
            <w:t>Sub-subheading.</w:t>
          </w:r>
          <w:r>
            <w:rPr>
              <w:smallCaps/>
              <w:color w:val="000000"/>
            </w:rPr>
            <w:tab/>
          </w:r>
          <w:r>
            <w:fldChar w:fldCharType="begin"/>
          </w:r>
          <w:r>
            <w:instrText xml:space="preserve"> PAGEREF _heading=h.tfhll5w24v5r \h </w:instrText>
          </w:r>
          <w:r>
            <w:fldChar w:fldCharType="separate"/>
          </w:r>
          <w:r>
            <w:rPr>
              <w:smallCaps/>
              <w:color w:val="000000"/>
            </w:rPr>
            <w:t>4</w:t>
          </w:r>
          <w:hyperlink w:anchor="_heading=h.tfhll5w24v5r" w:history="1"/>
        </w:p>
        <w:p w14:paraId="67D2537D" w14:textId="77777777" w:rsidR="00ED16E0" w:rsidRDefault="00000000">
          <w:pPr>
            <w:pBdr>
              <w:top w:val="nil"/>
              <w:left w:val="nil"/>
              <w:bottom w:val="nil"/>
              <w:right w:val="nil"/>
              <w:between w:val="nil"/>
            </w:pBdr>
            <w:tabs>
              <w:tab w:val="right" w:pos="6480"/>
              <w:tab w:val="left" w:pos="3600"/>
            </w:tabs>
            <w:spacing w:before="240" w:after="240" w:line="240" w:lineRule="auto"/>
            <w:ind w:left="1980" w:right="720" w:hanging="360"/>
            <w:rPr>
              <w:rFonts w:ascii="Calibri" w:eastAsia="Calibri" w:hAnsi="Calibri" w:cs="Calibri"/>
              <w:color w:val="000000"/>
              <w:sz w:val="22"/>
              <w:szCs w:val="22"/>
            </w:rPr>
          </w:pPr>
          <w:r>
            <w:fldChar w:fldCharType="end"/>
          </w:r>
          <w:r>
            <w:rPr>
              <w:color w:val="000000"/>
            </w:rPr>
            <w:t>a.</w:t>
          </w:r>
          <w:r>
            <w:rPr>
              <w:rFonts w:ascii="Calibri" w:eastAsia="Calibri" w:hAnsi="Calibri" w:cs="Calibri"/>
              <w:color w:val="000000"/>
              <w:sz w:val="22"/>
              <w:szCs w:val="22"/>
            </w:rPr>
            <w:tab/>
          </w:r>
          <w:r>
            <w:rPr>
              <w:smallCaps/>
              <w:color w:val="000000"/>
            </w:rPr>
            <w:t>Sub-sub-subheading.</w:t>
          </w:r>
          <w:r>
            <w:rPr>
              <w:color w:val="000000"/>
            </w:rPr>
            <w:tab/>
          </w:r>
          <w:r>
            <w:fldChar w:fldCharType="begin"/>
          </w:r>
          <w:r>
            <w:instrText xml:space="preserve"> PAGEREF _heading=h.616rftibr4wr \h </w:instrText>
          </w:r>
          <w:r>
            <w:fldChar w:fldCharType="separate"/>
          </w:r>
          <w:r>
            <w:rPr>
              <w:color w:val="000000"/>
            </w:rPr>
            <w:t>4</w:t>
          </w:r>
          <w:hyperlink w:anchor="_heading=h.616rftibr4wr" w:history="1"/>
        </w:p>
        <w:p w14:paraId="0AD9C10C" w14:textId="77777777" w:rsidR="00ED16E0" w:rsidRDefault="00000000">
          <w:pPr>
            <w:pBdr>
              <w:top w:val="nil"/>
              <w:left w:val="nil"/>
              <w:bottom w:val="nil"/>
              <w:right w:val="nil"/>
              <w:between w:val="nil"/>
            </w:pBdr>
            <w:tabs>
              <w:tab w:val="right" w:pos="6480"/>
            </w:tabs>
            <w:spacing w:before="240" w:after="240" w:line="240" w:lineRule="auto"/>
            <w:ind w:right="720"/>
            <w:rPr>
              <w:rFonts w:ascii="Calibri" w:eastAsia="Calibri" w:hAnsi="Calibri" w:cs="Calibri"/>
              <w:color w:val="000000"/>
              <w:sz w:val="22"/>
              <w:szCs w:val="22"/>
            </w:rPr>
          </w:pPr>
          <w:r>
            <w:fldChar w:fldCharType="end"/>
          </w:r>
          <w:r>
            <w:rPr>
              <w:smallCaps/>
              <w:color w:val="000000"/>
            </w:rPr>
            <w:t>Conclusion</w:t>
          </w:r>
          <w:r>
            <w:rPr>
              <w:smallCaps/>
              <w:color w:val="000000"/>
            </w:rPr>
            <w:tab/>
          </w:r>
          <w:r>
            <w:fldChar w:fldCharType="begin"/>
          </w:r>
          <w:r>
            <w:instrText xml:space="preserve"> PAGEREF _heading=h.un3e58yprh5c \h </w:instrText>
          </w:r>
          <w:r>
            <w:fldChar w:fldCharType="separate"/>
          </w:r>
          <w:r>
            <w:rPr>
              <w:smallCaps/>
              <w:color w:val="000000"/>
            </w:rPr>
            <w:t>4</w:t>
          </w:r>
          <w:hyperlink w:anchor="_heading=h.un3e58yprh5c" w:history="1"/>
        </w:p>
        <w:p w14:paraId="5ECFACA5" w14:textId="77777777" w:rsidR="00ED16E0" w:rsidRDefault="00000000">
          <w:pPr>
            <w:pBdr>
              <w:top w:val="nil"/>
              <w:left w:val="nil"/>
              <w:bottom w:val="nil"/>
              <w:right w:val="nil"/>
              <w:between w:val="nil"/>
            </w:pBdr>
            <w:tabs>
              <w:tab w:val="right" w:pos="6480"/>
            </w:tabs>
            <w:spacing w:before="240" w:after="240" w:line="240" w:lineRule="auto"/>
            <w:ind w:right="720"/>
            <w:rPr>
              <w:rFonts w:ascii="Calibri" w:eastAsia="Calibri" w:hAnsi="Calibri" w:cs="Calibri"/>
              <w:color w:val="000000"/>
              <w:sz w:val="22"/>
              <w:szCs w:val="22"/>
            </w:rPr>
          </w:pPr>
          <w:r>
            <w:fldChar w:fldCharType="end"/>
          </w:r>
          <w:r>
            <w:rPr>
              <w:smallCaps/>
              <w:color w:val="000000"/>
            </w:rPr>
            <w:t>Certifications</w:t>
          </w:r>
          <w:r>
            <w:rPr>
              <w:smallCaps/>
              <w:color w:val="000000"/>
            </w:rPr>
            <w:tab/>
          </w:r>
          <w:r>
            <w:fldChar w:fldCharType="begin"/>
          </w:r>
          <w:r>
            <w:instrText xml:space="preserve"> PAGEREF _heading=h.ursezjq8la9b \h </w:instrText>
          </w:r>
          <w:r>
            <w:fldChar w:fldCharType="separate"/>
          </w:r>
          <w:r>
            <w:rPr>
              <w:smallCaps/>
              <w:color w:val="000000"/>
            </w:rPr>
            <w:t>5</w:t>
          </w:r>
          <w:hyperlink w:anchor="_heading=h.ursezjq8la9b" w:history="1"/>
        </w:p>
        <w:p w14:paraId="601F1420" w14:textId="77777777" w:rsidR="00ED16E0" w:rsidRDefault="00000000">
          <w:pPr>
            <w:tabs>
              <w:tab w:val="right" w:pos="6480"/>
            </w:tabs>
            <w:spacing w:line="240" w:lineRule="auto"/>
          </w:pPr>
          <w:r>
            <w:fldChar w:fldCharType="end"/>
          </w:r>
          <w:r>
            <w:fldChar w:fldCharType="end"/>
          </w:r>
        </w:p>
      </w:sdtContent>
    </w:sdt>
    <w:p w14:paraId="2353F5D4" w14:textId="77777777" w:rsidR="00ED16E0" w:rsidRDefault="00000000">
      <w:pPr>
        <w:spacing w:line="240" w:lineRule="auto"/>
        <w:jc w:val="left"/>
        <w:rPr>
          <w:b/>
          <w:bCs/>
          <w:smallCaps/>
        </w:rPr>
      </w:pPr>
      <w:bookmarkStart w:id="0" w:name="_heading=h.8e4xr0srgldy" w:colFirst="0" w:colLast="0"/>
      <w:bookmarkEnd w:id="0"/>
      <w:r>
        <w:br w:type="page"/>
      </w:r>
    </w:p>
    <w:p w14:paraId="670A9690" w14:textId="77777777" w:rsidR="00ED16E0" w:rsidRDefault="00000000">
      <w:pPr>
        <w:pStyle w:val="Heading1"/>
      </w:pPr>
      <w:r>
        <w:lastRenderedPageBreak/>
        <w:t>Table of Authorities</w:t>
      </w:r>
    </w:p>
    <w:p w14:paraId="1C3EF645" w14:textId="77777777" w:rsidR="00ED16E0" w:rsidRDefault="00ED16E0">
      <w:pPr>
        <w:spacing w:line="240" w:lineRule="auto"/>
        <w:jc w:val="left"/>
        <w:rPr>
          <w:b/>
          <w:bCs/>
          <w:smallCaps/>
        </w:rPr>
      </w:pPr>
    </w:p>
    <w:p w14:paraId="367A7462" w14:textId="77777777" w:rsidR="00ED16E0" w:rsidRDefault="00000000">
      <w:pPr>
        <w:spacing w:line="240" w:lineRule="auto"/>
        <w:jc w:val="left"/>
        <w:rPr>
          <w:b/>
          <w:bCs/>
          <w:smallCaps/>
        </w:rPr>
      </w:pPr>
      <w:r>
        <w:br w:type="page"/>
      </w:r>
    </w:p>
    <w:p w14:paraId="12CF99BD" w14:textId="77777777" w:rsidR="00ED16E0" w:rsidRDefault="00000000">
      <w:pPr>
        <w:pStyle w:val="Heading1"/>
      </w:pPr>
      <w:bookmarkStart w:id="1" w:name="_heading=h.y80q7d9a6jcu" w:colFirst="0" w:colLast="0"/>
      <w:bookmarkEnd w:id="1"/>
      <w:r>
        <w:lastRenderedPageBreak/>
        <w:t>Issues Presented</w:t>
      </w:r>
    </w:p>
    <w:p w14:paraId="41499BBC" w14:textId="77777777" w:rsidR="00ED16E0" w:rsidRDefault="00000000">
      <w:pPr>
        <w:pBdr>
          <w:top w:val="nil"/>
          <w:left w:val="nil"/>
          <w:bottom w:val="nil"/>
          <w:right w:val="nil"/>
          <w:between w:val="nil"/>
        </w:pBdr>
        <w:spacing w:before="240"/>
        <w:ind w:left="720" w:hanging="720"/>
        <w:rPr>
          <w:color w:val="000000"/>
        </w:rPr>
      </w:pPr>
      <w:r>
        <w:rPr>
          <w:color w:val="000000"/>
        </w:rPr>
        <w:t>1.</w:t>
      </w:r>
      <w:r>
        <w:rPr>
          <w:color w:val="000000"/>
        </w:rPr>
        <w:tab/>
        <w:t xml:space="preserve">Whether the circuit court erroneously exercised its discretion by admitting 28 items of other-acts evidence, including child pornography discovered two years after the charged 2017 offense, without viewing the audiovisual exhibits, without conducting the required </w:t>
      </w:r>
      <w:r>
        <w:rPr>
          <w:i/>
          <w:iCs/>
          <w:color w:val="000000"/>
        </w:rPr>
        <w:t>Sullivan</w:t>
      </w:r>
      <w:r>
        <w:rPr>
          <w:color w:val="000000"/>
        </w:rPr>
        <w:t xml:space="preserve"> analysis, and without holding the evidentiary hearing defense counsel requested; and whether the independent review doctrine requires this Court to conduct </w:t>
      </w:r>
      <w:r>
        <w:rPr>
          <w:i/>
          <w:iCs/>
          <w:color w:val="000000"/>
        </w:rPr>
        <w:t>de novo</w:t>
      </w:r>
      <w:r>
        <w:rPr>
          <w:color w:val="000000"/>
        </w:rPr>
        <w:t xml:space="preserve"> the analysis the circuit court never performed, because the court’s failure to examine the evidence it admitted deprived it of the factual predicate necessary to exercise discretion?</w:t>
      </w:r>
    </w:p>
    <w:p w14:paraId="3FE85E5A" w14:textId="77777777" w:rsidR="00ED16E0" w:rsidRDefault="00000000">
      <w:pPr>
        <w:pBdr>
          <w:top w:val="nil"/>
          <w:left w:val="nil"/>
          <w:bottom w:val="nil"/>
          <w:right w:val="nil"/>
          <w:between w:val="nil"/>
        </w:pBdr>
        <w:spacing w:before="240"/>
        <w:ind w:firstLine="720"/>
        <w:rPr>
          <w:color w:val="000000"/>
        </w:rPr>
      </w:pPr>
      <w:r>
        <w:rPr>
          <w:color w:val="000000"/>
        </w:rPr>
        <w:t>The court denied defense counsel’s request for a separate evidentiary hearing on Items 14 through 28, ruling on the existing record and without viewing any of the images. The court admitted all 28 items, stating it would not “get too detailed” and ruling globally that probative value was not substantially outweighed by unfair prejudice. At trial, the court acknowledged it, again, “did not see the videos” and “could not see them” because the screen was positioned away from the bench at trial.  The prosecutor agreed it is “best practice for the Court to have viewed that stuff.”</w:t>
      </w:r>
    </w:p>
    <w:p w14:paraId="5078817B" w14:textId="77777777" w:rsidR="00ED16E0" w:rsidRDefault="00000000">
      <w:pPr>
        <w:pBdr>
          <w:top w:val="nil"/>
          <w:left w:val="nil"/>
          <w:bottom w:val="nil"/>
          <w:right w:val="nil"/>
          <w:between w:val="nil"/>
        </w:pBdr>
        <w:spacing w:before="240"/>
        <w:ind w:left="720" w:hanging="720"/>
        <w:rPr>
          <w:color w:val="000000"/>
        </w:rPr>
      </w:pPr>
      <w:r>
        <w:rPr>
          <w:color w:val="000000"/>
        </w:rPr>
        <w:lastRenderedPageBreak/>
        <w:t xml:space="preserve">2. </w:t>
      </w:r>
      <w:r>
        <w:rPr>
          <w:color w:val="000000"/>
        </w:rPr>
        <w:tab/>
        <w:t>Whether the circuit court erroneously exercised its discretion by admitting all six of Mr. Christopherson’s prior convictions for impeachment under Wis. Stat. § 906.09</w:t>
      </w:r>
      <w:r>
        <w:t xml:space="preserve">, </w:t>
      </w:r>
      <w:r>
        <w:rPr>
          <w:color w:val="000000"/>
        </w:rPr>
        <w:t>including four convictions from 1995-96 that were nearly thirty years old at trial and none of which involved dishonesty or false statement</w:t>
      </w:r>
      <w:r>
        <w:t xml:space="preserve">, </w:t>
      </w:r>
      <w:r>
        <w:rPr>
          <w:color w:val="000000"/>
        </w:rPr>
        <w:t>without meaningful analysis of remoteness, rehabilitation, or the absence of crimes involving dishonesty, where the prosecutor exploited the convictions in closing to argue Mr. Christopherson “has committed crimes since the mid-90s all the way through present” with “suspect credibility”?</w:t>
      </w:r>
    </w:p>
    <w:p w14:paraId="3A0C1CE8" w14:textId="77777777" w:rsidR="00ED16E0" w:rsidRDefault="00000000">
      <w:pPr>
        <w:pBdr>
          <w:top w:val="nil"/>
          <w:left w:val="nil"/>
          <w:bottom w:val="nil"/>
          <w:right w:val="nil"/>
          <w:between w:val="nil"/>
        </w:pBdr>
        <w:spacing w:before="240"/>
        <w:ind w:firstLine="720"/>
        <w:rPr>
          <w:color w:val="000000"/>
        </w:rPr>
      </w:pPr>
      <w:r>
        <w:rPr>
          <w:color w:val="000000"/>
        </w:rPr>
        <w:t>The court admitted all six convictions.</w:t>
      </w:r>
    </w:p>
    <w:p w14:paraId="7DBDC638" w14:textId="77777777" w:rsidR="00ED16E0" w:rsidRDefault="00000000">
      <w:pPr>
        <w:pBdr>
          <w:top w:val="nil"/>
          <w:left w:val="nil"/>
          <w:bottom w:val="nil"/>
          <w:right w:val="nil"/>
          <w:between w:val="nil"/>
        </w:pBdr>
        <w:spacing w:before="240"/>
        <w:ind w:left="720" w:hanging="720"/>
        <w:rPr>
          <w:color w:val="000000"/>
        </w:rPr>
      </w:pPr>
      <w:r>
        <w:rPr>
          <w:color w:val="000000"/>
        </w:rPr>
        <w:t xml:space="preserve">3. </w:t>
      </w:r>
      <w:r>
        <w:rPr>
          <w:color w:val="000000"/>
        </w:rPr>
        <w:tab/>
        <w:t xml:space="preserve">Whether the forensic interviewer’s testimony that JV1 “was talking from something that she experienced” constituted improper vouching for the complainant’s truthfulness in violation of </w:t>
      </w:r>
      <w:r>
        <w:rPr>
          <w:i/>
          <w:iCs/>
          <w:color w:val="000000"/>
        </w:rPr>
        <w:t>State v. Haseltine</w:t>
      </w:r>
      <w:r>
        <w:rPr>
          <w:color w:val="000000"/>
        </w:rPr>
        <w:t xml:space="preserve">, where the circuit court had expressly prohibited accuracy opinions and the prosecutor had agreed the witness “should not say that”; and whether the circuit court failed to conduct the reliability-and-fit findings required by </w:t>
      </w:r>
      <w:r>
        <w:rPr>
          <w:i/>
          <w:iCs/>
          <w:color w:val="000000"/>
        </w:rPr>
        <w:t>Daubert</w:t>
      </w:r>
      <w:r>
        <w:rPr>
          <w:color w:val="000000"/>
        </w:rPr>
        <w:t xml:space="preserve"> under Wis. Stat. § 907.02 when it ruled the witness “immensely qualified” without </w:t>
      </w:r>
      <w:r>
        <w:rPr>
          <w:color w:val="000000"/>
        </w:rPr>
        <w:lastRenderedPageBreak/>
        <w:t>addressing defense counsel’s challenge to the predictiveness of her methodology?</w:t>
      </w:r>
    </w:p>
    <w:p w14:paraId="746A5FA8" w14:textId="77777777" w:rsidR="00ED16E0" w:rsidRDefault="00000000">
      <w:pPr>
        <w:pBdr>
          <w:top w:val="nil"/>
          <w:left w:val="nil"/>
          <w:bottom w:val="nil"/>
          <w:right w:val="nil"/>
          <w:between w:val="nil"/>
        </w:pBdr>
        <w:spacing w:before="240"/>
        <w:ind w:firstLine="720"/>
        <w:rPr>
          <w:color w:val="000000"/>
        </w:rPr>
      </w:pPr>
      <w:r>
        <w:rPr>
          <w:color w:val="000000"/>
        </w:rPr>
        <w:t>The court ruled the testimony admissible based on the witness’s qualifications, without addressing defense counsel’s challenge to the predictiveness of her methodology. The court ordered Sickel not to comment on accuracy; she testified JV1 “was talking from something that she experienced.”</w:t>
      </w:r>
    </w:p>
    <w:p w14:paraId="2FE4A00D" w14:textId="77777777" w:rsidR="00ED16E0" w:rsidRDefault="00000000">
      <w:pPr>
        <w:pBdr>
          <w:top w:val="nil"/>
          <w:left w:val="nil"/>
          <w:bottom w:val="nil"/>
          <w:right w:val="nil"/>
          <w:between w:val="nil"/>
        </w:pBdr>
        <w:spacing w:before="240"/>
        <w:ind w:left="720" w:hanging="720"/>
        <w:rPr>
          <w:color w:val="000000"/>
        </w:rPr>
      </w:pPr>
      <w:r>
        <w:t xml:space="preserve">4. </w:t>
      </w:r>
      <w:r>
        <w:tab/>
        <w:t xml:space="preserve">Whether the cumulative effect of multiple </w:t>
      </w:r>
      <w:r>
        <w:rPr>
          <w:bCs/>
        </w:rPr>
        <w:t>errors</w:t>
      </w:r>
      <w:r>
        <w:rPr>
          <w:b/>
        </w:rPr>
        <w:t xml:space="preserve"> </w:t>
      </w:r>
      <w:r>
        <w:t>denied Mr. Christopherson a fair trial in a case that rested entirely on the uncorroborated testimony of a single complainant, requiring reversal in the interest of justice under Wis. Stat. § 752.35?</w:t>
      </w:r>
    </w:p>
    <w:p w14:paraId="70DCDB7A" w14:textId="77777777" w:rsidR="00ED16E0" w:rsidRDefault="00000000">
      <w:pPr>
        <w:pBdr>
          <w:top w:val="nil"/>
          <w:left w:val="nil"/>
          <w:bottom w:val="nil"/>
          <w:right w:val="nil"/>
          <w:between w:val="nil"/>
        </w:pBdr>
        <w:spacing w:before="240"/>
        <w:ind w:firstLine="720"/>
        <w:rPr>
          <w:color w:val="000000"/>
        </w:rPr>
      </w:pPr>
      <w:r>
        <w:rPr>
          <w:color w:val="000000"/>
        </w:rPr>
        <w:t>Not addressed by the circuit court; cumulative error is raised on appeal. The real controversy was not fully tried and justice has miscarried.</w:t>
      </w:r>
    </w:p>
    <w:p w14:paraId="63DCBF78" w14:textId="77777777" w:rsidR="00ED16E0" w:rsidRDefault="00000000">
      <w:pPr>
        <w:pStyle w:val="Heading1"/>
      </w:pPr>
      <w:bookmarkStart w:id="2" w:name="_heading=h.24e41m3oosay" w:colFirst="0" w:colLast="0"/>
      <w:bookmarkEnd w:id="2"/>
      <w:r>
        <w:t>position on oral argument and publication</w:t>
      </w:r>
    </w:p>
    <w:p w14:paraId="26AA4B04" w14:textId="77777777" w:rsidR="00ED16E0" w:rsidRPr="001B20BB" w:rsidRDefault="00000000" w:rsidP="001B20BB">
      <w:pPr>
        <w:pBdr>
          <w:top w:val="nil"/>
          <w:left w:val="nil"/>
          <w:bottom w:val="nil"/>
          <w:right w:val="nil"/>
          <w:between w:val="nil"/>
        </w:pBdr>
        <w:spacing w:before="240"/>
        <w:ind w:firstLine="720"/>
        <w:rPr>
          <w:color w:val="000000"/>
        </w:rPr>
      </w:pPr>
      <w:r>
        <w:rPr>
          <w:color w:val="000000"/>
        </w:rPr>
        <w:t xml:space="preserve"> </w:t>
      </w:r>
      <w:r>
        <w:t xml:space="preserve">The defendant does not request oral argument but welcomes the opportunity to present argument should the Court find it helpful. </w:t>
      </w:r>
      <w:r>
        <w:rPr>
          <w:i/>
          <w:iCs/>
        </w:rPr>
        <w:t>See</w:t>
      </w:r>
      <w:r>
        <w:t xml:space="preserve"> Wis. Stat. Rule 809.22. The defendant respectfully requests publication of any opinion in this matter. This appeal presents issues concerning the independent review </w:t>
      </w:r>
      <w:r>
        <w:lastRenderedPageBreak/>
        <w:t xml:space="preserve">doctrine’s application to other-acts rulings where the circuit court never examined the evidence it admitted, which is a question involving the application of established rules of law to factual situations significantly different from those in published opinions. </w:t>
      </w:r>
      <w:r>
        <w:rPr>
          <w:i/>
          <w:iCs/>
        </w:rPr>
        <w:t>See</w:t>
      </w:r>
      <w:r>
        <w:t xml:space="preserve"> Wis. Stat. § 809.23(1)(a)–(b).</w:t>
      </w:r>
      <w:bookmarkStart w:id="3" w:name="_heading=h.p8vlo3jwuxl1" w:colFirst="0" w:colLast="0"/>
      <w:bookmarkEnd w:id="3"/>
    </w:p>
    <w:p w14:paraId="6E0CABEC" w14:textId="77777777" w:rsidR="00ED16E0" w:rsidRDefault="00000000">
      <w:pPr>
        <w:pStyle w:val="Heading1"/>
      </w:pPr>
      <w:bookmarkStart w:id="4" w:name="_heading=h.40no0q3a5nba" w:colFirst="0" w:colLast="0"/>
      <w:bookmarkEnd w:id="4"/>
      <w:r>
        <w:t>statement of the case and facts</w:t>
      </w:r>
    </w:p>
    <w:p w14:paraId="772C63E8" w14:textId="77777777" w:rsidR="00ED16E0" w:rsidRDefault="00000000">
      <w:pPr>
        <w:spacing w:before="240" w:after="240"/>
        <w:jc w:val="center"/>
        <w:rPr>
          <w:b/>
          <w:bCs/>
          <w:i/>
          <w:iCs/>
        </w:rPr>
      </w:pPr>
      <w:r>
        <w:rPr>
          <w:b/>
          <w:bCs/>
          <w:i/>
          <w:iCs/>
        </w:rPr>
        <w:t>Background and Initial Allegations</w:t>
      </w:r>
    </w:p>
    <w:p w14:paraId="7D01C020" w14:textId="77777777" w:rsidR="00ED16E0" w:rsidRPr="00EE764A" w:rsidRDefault="00000000">
      <w:pPr>
        <w:spacing w:before="240" w:after="240"/>
        <w:ind w:firstLine="720"/>
        <w:rPr>
          <w:bCs/>
        </w:rPr>
      </w:pPr>
      <w:r>
        <w:rPr>
          <w:bCs/>
        </w:rPr>
        <w:t>Jeffrey Christopherson was convicted and sentenced to 35 years in prison followed by 20 years of extended supervision for first-degree sexual assault of a child. His conviction rests on a single witness’s account, one that shifted between two forensic interviews conducted years apart, that was unsupported by any physical evidence or eyewitness corroboration, and that initially closed without charges as “unsubstantiated.” (4:2). As the prosecutor himself acknowledged, “this case boils down to whom the jury believes.” (138:9). Mr. Christopherson seeks reversal of his conviction and a new trial because, for the reasons set forth below, the circuit court’s multiple erroneous rulings denied him that fair trial.</w:t>
      </w:r>
    </w:p>
    <w:p w14:paraId="47348DC6" w14:textId="62974D42" w:rsidR="00ED16E0" w:rsidRPr="00EE764A" w:rsidRDefault="00D72FC6" w:rsidP="001C46D1">
      <w:pPr>
        <w:spacing w:before="240" w:after="240"/>
        <w:ind w:firstLine="720"/>
        <w:rPr>
          <w:bCs/>
        </w:rPr>
      </w:pPr>
      <w:r>
        <w:rPr>
          <w:bCs/>
        </w:rPr>
        <w:t xml:space="preserve">Mr. Christopherson worked as the maintenance man at Forest Junction Mobile Home Park in Calumet County, Wisconsin, where he also lived. (138:167-71). </w:t>
      </w:r>
      <w:r>
        <w:rPr>
          <w:bCs/>
        </w:rPr>
        <w:lastRenderedPageBreak/>
        <w:t>The investigation began on August 25, 2017, when JV1’s mother W1 attempted to make sense of statements made by her six-year-old daughter. (138:179-181). W1, who knew Mr. Christopherson as the park’s maintenance man, testified that JV1 disclosed sexual conduct by him, which W1 reported to the Brillion police. (138:156, 166-168; 138:179–182).</w:t>
      </w:r>
    </w:p>
    <w:p w14:paraId="462FD266" w14:textId="77777777" w:rsidR="00ED16E0" w:rsidRPr="001C46D1" w:rsidRDefault="00000000">
      <w:pPr>
        <w:spacing w:before="240" w:after="240"/>
        <w:ind w:firstLine="720"/>
        <w:rPr>
          <w:bCs/>
        </w:rPr>
      </w:pPr>
      <w:r>
        <w:rPr>
          <w:bCs/>
        </w:rPr>
        <w:t>Four days later, on August 29, 2017, forensic interviewer Kristie Sickel interviewed JV1 at the Willow Tree Cornerstone Child Advocacy Center. (138:242). JV1 stated she was there to talk about Mr. Christopherson and said, “He was making me suck his penis.” (Ex. 3, 8/29/17 Interview).</w:t>
      </w:r>
    </w:p>
    <w:p w14:paraId="33A77B5B" w14:textId="04F6E4F6" w:rsidR="00ED16E0" w:rsidRPr="001C46D1" w:rsidRDefault="00000000">
      <w:pPr>
        <w:spacing w:before="240" w:after="240"/>
        <w:ind w:firstLine="720"/>
        <w:rPr>
          <w:bCs/>
        </w:rPr>
      </w:pPr>
      <w:r>
        <w:rPr>
          <w:bCs/>
        </w:rPr>
        <w:t>JV1 made additional disclosures regarding the nature of the contact, placed the incident at the trailer park office, and described both participants removing clothing. (Ex. 3, 8/29/17 Interview).</w:t>
      </w:r>
    </w:p>
    <w:p w14:paraId="3B3425E7" w14:textId="77777777" w:rsidR="00ED16E0" w:rsidRPr="001C46D1" w:rsidRDefault="00000000">
      <w:pPr>
        <w:spacing w:before="240" w:after="240"/>
        <w:ind w:firstLine="720"/>
        <w:rPr>
          <w:bCs/>
        </w:rPr>
      </w:pPr>
      <w:r>
        <w:rPr>
          <w:bCs/>
        </w:rPr>
        <w:t>On September 25, 2017, law enforcement interviewed Mr. Christopherson. (4:2; 139:114). He unequivocally denied engaging in any sexual conduct with JV1, denied exposing himself, and denied inappropriate touching. (139:129; 4:2).</w:t>
      </w:r>
    </w:p>
    <w:p w14:paraId="5A9EF292" w14:textId="77777777" w:rsidR="00ED16E0" w:rsidRDefault="00000000">
      <w:pPr>
        <w:spacing w:before="240" w:after="240"/>
        <w:jc w:val="center"/>
        <w:rPr>
          <w:b/>
          <w:bCs/>
          <w:i/>
          <w:iCs/>
        </w:rPr>
      </w:pPr>
      <w:r>
        <w:rPr>
          <w:b/>
          <w:bCs/>
          <w:i/>
          <w:iCs/>
        </w:rPr>
        <w:t>The Case Closes Without Charges</w:t>
      </w:r>
    </w:p>
    <w:p w14:paraId="1ECCBB36" w14:textId="77777777" w:rsidR="00ED16E0" w:rsidRPr="00EE764A" w:rsidRDefault="00000000">
      <w:pPr>
        <w:spacing w:before="240" w:after="240"/>
        <w:ind w:firstLine="720"/>
        <w:rPr>
          <w:bCs/>
        </w:rPr>
      </w:pPr>
      <w:r>
        <w:rPr>
          <w:bCs/>
        </w:rPr>
        <w:t xml:space="preserve">Following the 2017 interview and Mr. Christopherson’s unequivocal denial, law enforcement </w:t>
      </w:r>
      <w:r>
        <w:rPr>
          <w:bCs/>
        </w:rPr>
        <w:lastRenderedPageBreak/>
        <w:t>closed the case without referring it for prosecution. Warrant materials later described the 2017 results as “unsubstantiated at that time.” (4:2).</w:t>
      </w:r>
    </w:p>
    <w:p w14:paraId="2F36B6DF" w14:textId="77777777" w:rsidR="00ED16E0" w:rsidRDefault="00000000">
      <w:pPr>
        <w:spacing w:before="240" w:after="240"/>
        <w:jc w:val="center"/>
        <w:rPr>
          <w:b/>
          <w:bCs/>
          <w:i/>
          <w:iCs/>
        </w:rPr>
      </w:pPr>
      <w:r>
        <w:rPr>
          <w:b/>
          <w:bCs/>
          <w:i/>
          <w:iCs/>
        </w:rPr>
        <w:t>Reopening the Investigation</w:t>
      </w:r>
    </w:p>
    <w:p w14:paraId="611261F3" w14:textId="0C8E34C5" w:rsidR="00ED16E0" w:rsidRPr="00EE764A" w:rsidRDefault="00000000">
      <w:pPr>
        <w:spacing w:before="240" w:after="240"/>
        <w:ind w:firstLine="720"/>
        <w:rPr>
          <w:bCs/>
        </w:rPr>
      </w:pPr>
      <w:r>
        <w:rPr>
          <w:bCs/>
        </w:rPr>
        <w:t>It was not until a separate investigation that law enforcement revisited the previously unsubstantiated allegations. A Wisconsin Internet Crimes Against Children (ICAC) Taskforce investigation prompted the reopening. (4:1-2). The March 2021 search-warrant affidavit explained the ICAC referral stemmed from a 2019 peer-to-peer investigation, and investigators re-interviewed JV1. (4:1-2). A second CAC forensic interview was conducted on February 8, 2022. (139:6; Ex. 3, 2/8/22 Interview).</w:t>
      </w:r>
    </w:p>
    <w:p w14:paraId="1944986C" w14:textId="738B6E54" w:rsidR="00ED16E0" w:rsidRPr="001C46D1" w:rsidRDefault="00000000">
      <w:pPr>
        <w:spacing w:before="240" w:after="240"/>
        <w:ind w:firstLine="720"/>
        <w:rPr>
          <w:bCs/>
        </w:rPr>
      </w:pPr>
      <w:r>
        <w:rPr>
          <w:bCs/>
        </w:rPr>
        <w:t>The February 2022 interview was notably less detailed and inconsistent with the earlier account. (Ex. 3, 2/8/22 Interview). JV1 stated “he sexually assaulted me in 2019, I think.” (Ex. 3, 2/8/22 Interview at [13:38]). She placed the incident on a “front porch” after it had rained and stated his clothes were “still on him.” (Ex. 3, 2/8/22 Interview at [17:04], [19:40]). These details contradicted the 2017 interview, where JV1 referenced the trailer park office and described both participants removing clothing. (Ex. 3, 8/29/17 Interview).</w:t>
      </w:r>
    </w:p>
    <w:p w14:paraId="77982559" w14:textId="77777777" w:rsidR="00ED16E0" w:rsidRDefault="00000000">
      <w:pPr>
        <w:spacing w:before="240" w:after="240"/>
        <w:jc w:val="center"/>
        <w:rPr>
          <w:b/>
          <w:bCs/>
          <w:i/>
          <w:iCs/>
        </w:rPr>
      </w:pPr>
      <w:r>
        <w:rPr>
          <w:b/>
          <w:bCs/>
          <w:i/>
          <w:iCs/>
        </w:rPr>
        <w:lastRenderedPageBreak/>
        <w:t>Criminal Complaint and Other-Acts Motion</w:t>
      </w:r>
    </w:p>
    <w:p w14:paraId="22DDB76D" w14:textId="77777777" w:rsidR="00ED16E0" w:rsidRDefault="00000000">
      <w:pPr>
        <w:spacing w:before="240" w:after="240"/>
        <w:ind w:firstLine="720"/>
      </w:pPr>
      <w:r>
        <w:t>On April 11, 2022, more than four and a half years after the alleged conduct, the State filed a criminal complaint charging Mr. Christopherson with first-degree sexual assault of a child under the age of twelve, alleging conduct between October 16, 2016, and August 25, 2017. (2:1-4).</w:t>
      </w:r>
    </w:p>
    <w:p w14:paraId="2ED2A03F" w14:textId="77777777" w:rsidR="00ED16E0" w:rsidRPr="00EE764A" w:rsidRDefault="00000000">
      <w:pPr>
        <w:spacing w:before="240" w:after="240"/>
        <w:ind w:firstLine="720"/>
        <w:rPr>
          <w:bCs/>
        </w:rPr>
      </w:pPr>
      <w:r>
        <w:rPr>
          <w:bCs/>
        </w:rPr>
        <w:t>The State moved to admit extensive other-acts evidence from the digital investigation, framing it as proof of Mr. Christopherson's “sexual interest in children” relevant to intent, motive, and the victim's credibility. (35:1-13, 10). The motion detailed allegations involving peer-to-peer file-sharing, internet searches, file names, and investigators' characterizations of digital material from the March 2021 search warrant. (35:2-6; 6:1-2). Mr. Christopherson opposed admission, arguing the evidence constituted impermissible propensity evidence. (134:15-27).</w:t>
      </w:r>
    </w:p>
    <w:p w14:paraId="615A6DF2" w14:textId="77777777" w:rsidR="00ED16E0" w:rsidRDefault="00000000">
      <w:pPr>
        <w:spacing w:before="240" w:after="240"/>
        <w:jc w:val="center"/>
        <w:rPr>
          <w:b/>
          <w:bCs/>
          <w:i/>
          <w:iCs/>
        </w:rPr>
      </w:pPr>
      <w:r>
        <w:rPr>
          <w:b/>
          <w:bCs/>
          <w:i/>
          <w:iCs/>
        </w:rPr>
        <w:t>The Other-Acts Hearing</w:t>
      </w:r>
    </w:p>
    <w:p w14:paraId="6538CDAE" w14:textId="77777777" w:rsidR="00ED16E0" w:rsidRDefault="00000000">
      <w:pPr>
        <w:spacing w:before="240" w:after="240"/>
        <w:ind w:firstLine="720"/>
      </w:pPr>
      <w:r>
        <w:rPr>
          <w:bCs/>
        </w:rPr>
        <w:t xml:space="preserve">At the March 28, 2023 hearing, defense counsel distinguished between “search” evidence and later-numbered items characterized as “Images,” emphasizing that the latter was “really complicated.” (134:22-23). Counsel singled out the image evidence </w:t>
      </w:r>
      <w:r>
        <w:rPr>
          <w:bCs/>
        </w:rPr>
        <w:lastRenderedPageBreak/>
        <w:t>warning that litigating them risked “introducing a trial inside a trial.” (134:23-24). In response, the court noted “the State has got the case that says it doesn't have to be a Conviction. . . .” (134:24). Counsel requested a separate evidentiary hearing for Items 14 through 28, explaining the existing information was insufficient to establish by a preponderance that the alleged acts were attributable to Mr. Christopherson; testimony from investigating officers was necessary. (134:25). When the court asked whether the defense really wanted testimony, counsel confirmed it did citing the “very likely risk of unfair prejudice.” (134:26-28, 26)</w:t>
      </w:r>
      <w:r>
        <w:rPr>
          <w:b/>
        </w:rPr>
        <w:t>.</w:t>
      </w:r>
    </w:p>
    <w:p w14:paraId="4F377436" w14:textId="77777777" w:rsidR="00ED16E0" w:rsidRDefault="00000000">
      <w:pPr>
        <w:spacing w:before="240" w:after="240"/>
        <w:ind w:firstLine="720"/>
      </w:pPr>
      <w:r>
        <w:t>The court initially proposed allowing defense counsel to brief the issue. (134:29). However, after the State interjected in rebuttal, the court ruled without briefing. (134:45-48).</w:t>
      </w:r>
    </w:p>
    <w:p w14:paraId="1D7219F4" w14:textId="77777777" w:rsidR="00ED16E0" w:rsidRPr="00D3518A" w:rsidRDefault="00000000">
      <w:pPr>
        <w:spacing w:before="240" w:after="240"/>
        <w:ind w:firstLine="720"/>
        <w:rPr>
          <w:bCs/>
        </w:rPr>
      </w:pPr>
      <w:r w:rsidRPr="00D3518A">
        <w:rPr>
          <w:bCs/>
        </w:rPr>
        <w:t>The State’s rebuttal arguments shaped the court’s ruling, including its attribution finding.</w:t>
      </w:r>
    </w:p>
    <w:p w14:paraId="3D5A736B" w14:textId="77777777" w:rsidR="00ED16E0" w:rsidRPr="00D3518A" w:rsidRDefault="00000000">
      <w:pPr>
        <w:spacing w:before="240" w:after="240"/>
        <w:ind w:firstLine="720"/>
        <w:rPr>
          <w:bCs/>
        </w:rPr>
      </w:pPr>
      <w:r w:rsidRPr="00D3518A">
        <w:rPr>
          <w:bCs/>
        </w:rPr>
        <w:t xml:space="preserve">The State invoked a misspelling to attribute the CD to Mr. Christopherson. The prosecutor cited a “spelling issue,” pointing to a CD labeled “Van Halan.” (134:38, 47). The original police report, however, described the label as “Jan Haian 5150.” (36:9). The State’s motion recharacterized “Jan Haian” as “Van Halan [sic].” (Compare 36:9 with 35:3). At trial, the </w:t>
      </w:r>
      <w:r w:rsidRPr="00D3518A">
        <w:rPr>
          <w:bCs/>
        </w:rPr>
        <w:lastRenderedPageBreak/>
        <w:t>forensic analyst acknowledged she had written “John Hanie (phonetic)” in her report and learned the correct band name only from another agency’s transmittal. (139:241). The “misspelling” originated with the analyst’s phonetic transcription, not Mr. Christopherson.</w:t>
      </w:r>
    </w:p>
    <w:p w14:paraId="520A982D" w14:textId="39AC2799" w:rsidR="00E01EF6" w:rsidRPr="00D3518A" w:rsidRDefault="00000000" w:rsidP="00EE764A">
      <w:pPr>
        <w:ind w:firstLine="720"/>
        <w:rPr>
          <w:bCs/>
        </w:rPr>
      </w:pPr>
      <w:r w:rsidRPr="00D3518A">
        <w:rPr>
          <w:bCs/>
        </w:rPr>
        <w:t>The State also cited the username “S-C-H-E-B-R-A-U-N” as evidence attributing the device content to Mr. Christopherson. (134:7, 33). “Shebraun” is his wife’s maiden name—Shelly Braun. (139:217-218; 140:180-181).</w:t>
      </w:r>
    </w:p>
    <w:p w14:paraId="7B7CDB0C" w14:textId="77777777" w:rsidR="00ED16E0" w:rsidRDefault="00000000">
      <w:pPr>
        <w:spacing w:before="240" w:after="240"/>
        <w:ind w:firstLine="20"/>
      </w:pPr>
      <w:r>
        <w:t>The court ruled:</w:t>
      </w:r>
    </w:p>
    <w:p w14:paraId="7FEC605B" w14:textId="77777777" w:rsidR="00ED16E0" w:rsidRDefault="00000000">
      <w:pPr>
        <w:spacing w:before="240" w:line="276" w:lineRule="auto"/>
        <w:ind w:left="720" w:right="720"/>
        <w:rPr>
          <w:sz w:val="20"/>
          <w:szCs w:val="20"/>
        </w:rPr>
      </w:pPr>
      <w:r>
        <w:rPr>
          <w:sz w:val="20"/>
          <w:szCs w:val="20"/>
        </w:rPr>
        <w:t>So the evidence is relevant and I'm not going to find—I am going to find that the probative value is not substantially outweighed by the risk of unfair prejudice in this particular case. I'm going down the list. I'm not going to get too detailed on this, but as I indicated, all of these items as I go through the list going from one to 28 are indeed other-acts. I'm going to find that they're relevant, that probative value of the whole and individually does not substantially outweigh the risk of unfair prejudice.</w:t>
      </w:r>
    </w:p>
    <w:p w14:paraId="2A396CC9" w14:textId="77777777" w:rsidR="00ED16E0" w:rsidRDefault="00000000">
      <w:pPr>
        <w:spacing w:before="240" w:line="276" w:lineRule="auto"/>
        <w:ind w:left="720" w:right="720"/>
        <w:rPr>
          <w:sz w:val="20"/>
          <w:szCs w:val="20"/>
        </w:rPr>
      </w:pPr>
      <w:r>
        <w:rPr>
          <w:sz w:val="20"/>
          <w:szCs w:val="20"/>
        </w:rPr>
        <w:t>I do find that this—the proffered acts by the preponderance of the evidence, and simply meaning that more likely than not are being proffered as being acts of the defendant. I find that given the similarity of the searches, the mediums by which the searches were undertaken, the spelling issue, I do think that that is a relevant issue.</w:t>
      </w:r>
    </w:p>
    <w:p w14:paraId="780F19E2" w14:textId="77777777" w:rsidR="00ED16E0" w:rsidRDefault="00000000">
      <w:pPr>
        <w:spacing w:before="240" w:line="276" w:lineRule="auto"/>
        <w:ind w:left="720" w:right="720"/>
        <w:rPr>
          <w:sz w:val="20"/>
          <w:szCs w:val="20"/>
        </w:rPr>
      </w:pPr>
      <w:r>
        <w:rPr>
          <w:sz w:val="20"/>
          <w:szCs w:val="20"/>
        </w:rPr>
        <w:t xml:space="preserve">I think the defense can raise the arguments that have been raised here with the jury and can certainly make the argument that—if they wish, that it wasn't the </w:t>
      </w:r>
      <w:r>
        <w:rPr>
          <w:sz w:val="20"/>
          <w:szCs w:val="20"/>
        </w:rPr>
        <w:lastRenderedPageBreak/>
        <w:t>defendant who looked at—who instigated these searches.</w:t>
      </w:r>
    </w:p>
    <w:p w14:paraId="7660DC26" w14:textId="77777777" w:rsidR="00ED16E0" w:rsidRDefault="00000000">
      <w:pPr>
        <w:spacing w:before="240" w:after="240"/>
      </w:pPr>
      <w:r>
        <w:t>(134:45-48).</w:t>
      </w:r>
    </w:p>
    <w:p w14:paraId="7CEA911E" w14:textId="77777777" w:rsidR="00ED16E0" w:rsidRPr="00EE764A" w:rsidRDefault="00000000">
      <w:pPr>
        <w:spacing w:before="240" w:after="240"/>
        <w:ind w:firstLine="720"/>
        <w:rPr>
          <w:bCs/>
        </w:rPr>
      </w:pPr>
      <w:r>
        <w:rPr>
          <w:bCs/>
        </w:rPr>
        <w:t xml:space="preserve">The court issued no separate written </w:t>
      </w:r>
      <w:r>
        <w:rPr>
          <w:bCs/>
          <w:i/>
          <w:iCs/>
        </w:rPr>
        <w:t>Sullivan</w:t>
      </w:r>
      <w:r>
        <w:rPr>
          <w:bCs/>
        </w:rPr>
        <w:t xml:space="preserve"> analysis and granted the State's motion to admit two audiovisual recordings of JV1's prior statements pursuant to Wis. Stat. § 908.08. (30:1-2; 31:1; 37:1).</w:t>
      </w:r>
    </w:p>
    <w:p w14:paraId="4DCE1AB8" w14:textId="77777777" w:rsidR="00ED16E0" w:rsidRDefault="00000000">
      <w:pPr>
        <w:spacing w:before="240" w:after="240"/>
        <w:ind w:firstLine="720"/>
      </w:pPr>
      <w:r>
        <w:t>The parties also litigated whether the State could impeach Mr. Christopherson with prior convictions if he testified. The State identified six convictions spanning more than two decades: two 1996 felony convictions for burglary and forgery-related offenses in Sauk County; two additional forgery convictions from 1995-1996; a 2009 misdemeanor for resisting or obstructing an officer; and a 2022 misdemeanor for disorderly conduct, domestic abuse. (39:1-2).</w:t>
      </w:r>
    </w:p>
    <w:p w14:paraId="76E3D131" w14:textId="77777777" w:rsidR="00ED16E0" w:rsidRDefault="00000000">
      <w:pPr>
        <w:spacing w:before="240" w:after="240"/>
        <w:ind w:firstLine="720"/>
      </w:pPr>
      <w:r>
        <w:t xml:space="preserve">Defense counsel objected, emphasizing remoteness: several convictions dated to “1995” and “1996[.]” (71:93). Counsel argued admitting such remote convictions would unfairly prejudice the jury and transform impeachment into propensity evidence, particularly in a case involving sexual misconduct allegations. Counsel emphasized Wis. Stat. § 906.09 requires careful, individualized determination and </w:t>
      </w:r>
      <w:r>
        <w:lastRenderedPageBreak/>
        <w:t>urged the court to limit the number and scope of convictions. (71:93-95).</w:t>
      </w:r>
    </w:p>
    <w:p w14:paraId="1CDD4887" w14:textId="77777777" w:rsidR="00ED16E0" w:rsidRDefault="00000000">
      <w:pPr>
        <w:spacing w:before="240" w:after="240"/>
        <w:ind w:firstLine="720"/>
      </w:pPr>
      <w:r>
        <w:t>The State minimized their age, arguing the statute permits impeachment by number of convictions and remoteness did not mandate exclusion. (71:94). The circuit court acknowledged "a lapse of time between some of these convictions" but ruled all six admissible, reasoning the older crimes, though “different in nature,” “certainly touch[ed] on some of the issues” in the present case. (71:96). The court excluded no convictions on remoteness grounds and imposed no numerical limit.</w:t>
      </w:r>
    </w:p>
    <w:p w14:paraId="7034231B" w14:textId="77777777" w:rsidR="00ED16E0" w:rsidRDefault="00000000">
      <w:pPr>
        <w:spacing w:before="240" w:after="240"/>
        <w:jc w:val="center"/>
        <w:rPr>
          <w:b/>
          <w:bCs/>
          <w:i/>
          <w:iCs/>
        </w:rPr>
      </w:pPr>
      <w:r>
        <w:rPr>
          <w:b/>
          <w:bCs/>
          <w:i/>
          <w:iCs/>
        </w:rPr>
        <w:t>Pretrial Rulings on Expert Testimony</w:t>
      </w:r>
    </w:p>
    <w:p w14:paraId="1B33A844" w14:textId="77777777" w:rsidR="00ED16E0" w:rsidRDefault="00000000">
      <w:pPr>
        <w:spacing w:before="240" w:after="240"/>
        <w:ind w:firstLine="720"/>
      </w:pPr>
      <w:r>
        <w:t xml:space="preserve">The State also sought to present expert testimony from forensic interviewer Kristie Sickel. Defense counsel challenged her proposed testimony under </w:t>
      </w:r>
      <w:r>
        <w:rPr>
          <w:i/>
          <w:iCs/>
        </w:rPr>
        <w:t>Daubert</w:t>
      </w:r>
      <w:r>
        <w:t>, asking the State to establish what “signs” supported her methodology and “how predictive” it was. (71:5-7). The circuit court ruled Sickel was “immensely qualified” and that her testimony was “a product of reliable principles and methods" based on her "training and experience,” without addressing the defense's challenge to the predictiveness of her methodology or making findings regarding error rates or validation. (71:88-89).</w:t>
      </w:r>
    </w:p>
    <w:p w14:paraId="27CAEA15" w14:textId="77777777" w:rsidR="00ED16E0" w:rsidRDefault="00000000">
      <w:pPr>
        <w:spacing w:before="240" w:after="240"/>
        <w:jc w:val="center"/>
        <w:rPr>
          <w:b/>
          <w:bCs/>
          <w:i/>
          <w:iCs/>
        </w:rPr>
      </w:pPr>
      <w:r>
        <w:rPr>
          <w:b/>
          <w:bCs/>
          <w:i/>
          <w:iCs/>
        </w:rPr>
        <w:lastRenderedPageBreak/>
        <w:t>Trial Testimony</w:t>
      </w:r>
    </w:p>
    <w:p w14:paraId="2E82F601" w14:textId="77777777" w:rsidR="00ED16E0" w:rsidRDefault="00000000">
      <w:pPr>
        <w:spacing w:before="240" w:after="240"/>
        <w:ind w:firstLine="720"/>
      </w:pPr>
      <w:r>
        <w:t>A jury heard the case over four days in July 2023. (138-141). The State presented testimony from JV1's mother, law-enforcement witnesses from both investigations, and witnesses associated with recorded statements and other-acts evidence. (138-140). The State played both CAC interviews for the jury, and JV1 testified live. (139-141).</w:t>
      </w:r>
    </w:p>
    <w:p w14:paraId="71245E0D" w14:textId="77777777" w:rsidR="00ED16E0" w:rsidRDefault="00000000">
      <w:pPr>
        <w:spacing w:before="240" w:after="240"/>
        <w:ind w:firstLine="720"/>
      </w:pPr>
      <w:r>
        <w:t>At trial, Sickel testified regarding her forensic interviews of JV1. When asked about signs of coaching, Sickel stated: “I did not [observe signs of coaching], because she was using age-appropriate language and she was able to provide sensory detail, and the way she was talking or explaining something, it presented as she was talking from something that she experienced, something that she saw.” (138:247).</w:t>
      </w:r>
    </w:p>
    <w:p w14:paraId="1B3902D3" w14:textId="77777777" w:rsidR="00ED16E0" w:rsidRPr="00D3518A" w:rsidRDefault="00000000">
      <w:pPr>
        <w:spacing w:before="240" w:after="240"/>
        <w:ind w:firstLine="720"/>
        <w:rPr>
          <w:bCs/>
        </w:rPr>
      </w:pPr>
      <w:r w:rsidRPr="00D3518A">
        <w:rPr>
          <w:bCs/>
        </w:rPr>
        <w:t xml:space="preserve">During trial, the State presented a curated selection from the 28 items ruled admissible. (140:5). Mr. Christopherson elected not to watch the </w:t>
      </w:r>
      <w:proofErr w:type="gramStart"/>
      <w:r w:rsidRPr="00D3518A">
        <w:rPr>
          <w:bCs/>
        </w:rPr>
        <w:t xml:space="preserve">other-acts </w:t>
      </w:r>
      <w:proofErr w:type="gramEnd"/>
      <w:r w:rsidRPr="00D3518A">
        <w:rPr>
          <w:bCs/>
        </w:rPr>
        <w:t xml:space="preserve">videos and pictures. The court confirmed off the record that his waiver of that confrontation right was knowing, voluntary, and intelligent. (140:3-4). After the material was presented, the court stated it “did not see the videos” because the screen was positioned so it “could not see them.” (140:4-5). The court explained that if there had been an objection it “certainly” would </w:t>
      </w:r>
      <w:r w:rsidRPr="00D3518A">
        <w:rPr>
          <w:bCs/>
        </w:rPr>
        <w:lastRenderedPageBreak/>
        <w:t>have needed to view them, but because there was “no objection to the presentation,” it did not. (140:5). The prosecutor agreed nothing could be undone but stated it is “best practice for the Court to have viewed that stuff” and to “contemporaneously view it . . . as the Court's role as the court.” (140:5-6). Defense counsel reiterated the standing objection to admissibility but clarified he “did not object during that portion” and “in light of the Court's order,” did not see anything objectionable on that limited basis. (140:6-7).</w:t>
      </w:r>
    </w:p>
    <w:p w14:paraId="752E13EB" w14:textId="77777777" w:rsidR="00ED16E0" w:rsidRDefault="00000000">
      <w:pPr>
        <w:spacing w:before="240" w:after="240"/>
        <w:jc w:val="center"/>
        <w:rPr>
          <w:b/>
          <w:bCs/>
          <w:i/>
          <w:iCs/>
        </w:rPr>
      </w:pPr>
      <w:r>
        <w:rPr>
          <w:b/>
          <w:bCs/>
          <w:i/>
          <w:iCs/>
        </w:rPr>
        <w:t>Dylan Wilson's Foreclosed Testimony</w:t>
      </w:r>
    </w:p>
    <w:p w14:paraId="03BF1237" w14:textId="77777777" w:rsidR="00ED16E0" w:rsidRPr="00EE764A" w:rsidRDefault="00000000">
      <w:pPr>
        <w:spacing w:before="240" w:after="240"/>
        <w:ind w:firstLine="720"/>
        <w:rPr>
          <w:bCs/>
        </w:rPr>
      </w:pPr>
      <w:r>
        <w:rPr>
          <w:bCs/>
        </w:rPr>
        <w:t>The defense sought to present Dylan James Wilson, Mr. Christopherson's stepson, to challenge attribution of the other-acts evidence. At the March 28 motion hearing, defense counsel pointed to investigators' information showing Dylan had been caught viewing pornography on the family computer, supporting the position that files attributed to Mr. Christopherson could have been “left over” from Dylan's use. (134:40-41). When the defense called Dylan at trial, the State advised outside the jury's presence that Dylan had a possession case set for trial in two weeks and might invoke his Fifth Amendment rights. (140:81-82).</w:t>
      </w:r>
    </w:p>
    <w:p w14:paraId="542A7490" w14:textId="77777777" w:rsidR="00ED16E0" w:rsidRPr="001C46D1" w:rsidRDefault="00000000">
      <w:pPr>
        <w:spacing w:before="240" w:after="240"/>
        <w:ind w:firstLine="720"/>
        <w:rPr>
          <w:bCs/>
        </w:rPr>
      </w:pPr>
      <w:r>
        <w:rPr>
          <w:bCs/>
        </w:rPr>
        <w:t xml:space="preserve">The court conducted a privilege colloquy; Dylan confirmed he would invoke as to questions about </w:t>
      </w:r>
      <w:r>
        <w:rPr>
          <w:bCs/>
        </w:rPr>
        <w:lastRenderedPageBreak/>
        <w:t>possessing child pornography and accessing devices during relevant timeframes. The court found the invocation valid. (140:88-93).</w:t>
      </w:r>
    </w:p>
    <w:p w14:paraId="7BC69512" w14:textId="77777777" w:rsidR="00ED16E0" w:rsidRDefault="00000000">
      <w:pPr>
        <w:spacing w:before="240" w:after="240"/>
        <w:jc w:val="center"/>
        <w:rPr>
          <w:b/>
          <w:bCs/>
          <w:i/>
          <w:iCs/>
        </w:rPr>
      </w:pPr>
      <w:r>
        <w:rPr>
          <w:b/>
          <w:bCs/>
          <w:i/>
          <w:iCs/>
        </w:rPr>
        <w:t>Defense Case</w:t>
      </w:r>
    </w:p>
    <w:p w14:paraId="0C51CECD" w14:textId="77777777" w:rsidR="00ED16E0" w:rsidRDefault="00000000">
      <w:pPr>
        <w:spacing w:before="240" w:after="240"/>
        <w:ind w:firstLine="720"/>
      </w:pPr>
      <w:r>
        <w:t>Mr. Christopherson testified in his own defense. (140:224). He began with categorical denials: he had never sexually assaulted any child or touched the vagina of any child. (140:225). Consistent with the court's impeachment ruling, defense counsel drew the sting by eliciting his prior convictions. (140:231). Mr. Christopherson testified he had been convicted six times: four in 1996 for conduct in 1995-1996, one in 2009, and one in 2022 for disorderly conduct, domestic abuse. (140:231-232). He confirmed it had been roughly 14 years since the 2009 offense and 25 to 30 years since the older ones, and agreed none involved sexual assault or children. (140:232).</w:t>
      </w:r>
    </w:p>
    <w:p w14:paraId="39773A4E" w14:textId="77777777" w:rsidR="00ED16E0" w:rsidRDefault="00000000">
      <w:pPr>
        <w:spacing w:before="240" w:after="240"/>
        <w:jc w:val="center"/>
        <w:rPr>
          <w:b/>
          <w:bCs/>
          <w:i/>
          <w:iCs/>
        </w:rPr>
      </w:pPr>
      <w:r>
        <w:rPr>
          <w:b/>
          <w:bCs/>
          <w:i/>
          <w:iCs/>
        </w:rPr>
        <w:t>Verdict and Sentencing</w:t>
      </w:r>
    </w:p>
    <w:p w14:paraId="2E04A624" w14:textId="77777777" w:rsidR="00ED16E0" w:rsidRDefault="00000000">
      <w:pPr>
        <w:spacing w:before="240" w:after="240"/>
        <w:ind w:firstLine="720"/>
      </w:pPr>
      <w:r>
        <w:t>The jury returned a verdict finding Mr. Christopherson guilty of first-degree sexual assault of a child under the age of twelve. (141:1-210). The circuit court sentenced him to 35 years in prison followed by 20 years of extended supervision. Mr. Christopherson maintains his innocence and seeks reversal of his conviction and a new trial.</w:t>
      </w:r>
    </w:p>
    <w:p w14:paraId="03668AD3" w14:textId="77777777" w:rsidR="00ED16E0" w:rsidRDefault="00000000">
      <w:pPr>
        <w:pStyle w:val="Heading1"/>
      </w:pPr>
      <w:r>
        <w:lastRenderedPageBreak/>
        <w:t xml:space="preserve">Argument </w:t>
      </w:r>
    </w:p>
    <w:p w14:paraId="3AB6CD8C" w14:textId="0257FFA4" w:rsidR="002B6650" w:rsidRDefault="00000000" w:rsidP="00D3518A">
      <w:pPr>
        <w:spacing w:before="240" w:after="240"/>
        <w:ind w:firstLine="720"/>
      </w:pPr>
      <w:r>
        <w:t xml:space="preserve">Mr. Christopherson was convicted and sentenced to decades in prison as a direct result of multiple erroneous rulings by the circuit court. Those rulings violated his right to a fair trial by: (1) admitting 28 items of other-acts evidence, including child pornography the court never viewed, without conducting the required </w:t>
      </w:r>
      <w:r>
        <w:rPr>
          <w:i/>
          <w:iCs/>
        </w:rPr>
        <w:t>Sullivan</w:t>
      </w:r>
      <w:r>
        <w:t xml:space="preserve"> analysis or holding the evidentiary hearing defense counsel requested, and then allowing the State to foreclose the attribution defense the court’s own ruling contemplated; (2) admitting decades-old prior convictions without meaningful analysis of remoteness or rehabilitation; (3) permitting expert testimony that improperly vouched for the complainant’s truthfulness in violation of </w:t>
      </w:r>
      <w:r>
        <w:rPr>
          <w:i/>
          <w:iCs/>
        </w:rPr>
        <w:t>Haseltine</w:t>
      </w:r>
      <w:r>
        <w:t>. Each error independently warrants reversal. Together, they denied Mr. Christopherson any realistic chance of a fair adjudication in a case that turned on credibility.</w:t>
      </w:r>
    </w:p>
    <w:p w14:paraId="62041B72" w14:textId="77777777" w:rsidR="00ED16E0" w:rsidRDefault="00000000">
      <w:pPr>
        <w:pStyle w:val="Heading2"/>
        <w:numPr>
          <w:ilvl w:val="1"/>
          <w:numId w:val="4"/>
        </w:numPr>
      </w:pPr>
      <w:r>
        <w:t xml:space="preserve">THE CIRCUIT COURT ERRONEOUSLY ADMITTED OTHER-ACTS EVIDENCE WITHOUT CONDUCTING THE REQUIRED </w:t>
      </w:r>
      <w:r>
        <w:rPr>
          <w:i/>
          <w:iCs/>
        </w:rPr>
        <w:t>SULLIVAN</w:t>
      </w:r>
      <w:r>
        <w:t xml:space="preserve"> ANALYSIS, AND THE INDEPENDENT REVIEW DOCTRINE IS INAPPLICABLE</w:t>
      </w:r>
    </w:p>
    <w:p w14:paraId="529DCE83" w14:textId="77777777" w:rsidR="00ED16E0" w:rsidRDefault="00000000">
      <w:pPr>
        <w:spacing w:before="240" w:after="240"/>
        <w:ind w:firstLine="720"/>
      </w:pPr>
      <w:r>
        <w:lastRenderedPageBreak/>
        <w:t xml:space="preserve">The circuit court’s admission of the other-acts evidence was an erroneous exercise of discretion that requires reversal and a new trial. As a threshold matter, the independent review doctrine does not excuse the circuit court’s ruling: where the court never reviewed the audiovisual exhibits it admitted </w:t>
      </w:r>
      <w:r>
        <w:rPr>
          <w:u w:val="single"/>
        </w:rPr>
        <w:t>and</w:t>
      </w:r>
      <w:r>
        <w:t xml:space="preserve"> failed to conduct sufficient § 904.03 balancing, there is no discretionary determination to which deference can attach. On the merits, the evidence fails the </w:t>
      </w:r>
      <w:r>
        <w:rPr>
          <w:i/>
          <w:iCs/>
        </w:rPr>
        <w:t>Sullivan</w:t>
      </w:r>
      <w:r>
        <w:t xml:space="preserve"> analysis at every step: the court did not articulate its reasoning, the evidence was not probative of any permissible purpose, and the probative value was substantially outweighed by unfair prejudice. The error was not harmless.</w:t>
      </w:r>
    </w:p>
    <w:p w14:paraId="0B08593A" w14:textId="77777777" w:rsidR="00ED16E0" w:rsidRDefault="00000000">
      <w:pPr>
        <w:pStyle w:val="Heading3"/>
        <w:numPr>
          <w:ilvl w:val="2"/>
          <w:numId w:val="5"/>
        </w:numPr>
      </w:pPr>
      <w:r>
        <w:t>The Independent Review Doctrine Does Not Apply Where the Circuit Court Failed to Exercise Discretion.</w:t>
      </w:r>
    </w:p>
    <w:p w14:paraId="5A53AD2E" w14:textId="77777777" w:rsidR="00ED16E0" w:rsidRPr="00A6543F" w:rsidRDefault="00000000">
      <w:pPr>
        <w:spacing w:before="240" w:after="240"/>
        <w:ind w:firstLine="720"/>
        <w:rPr>
          <w:bCs/>
        </w:rPr>
      </w:pPr>
      <w:r>
        <w:rPr>
          <w:bCs/>
        </w:rPr>
        <w:t xml:space="preserve">Wisconsin's independent review doctrine establishes that, where the circuit court fails to articulate its reasoning, the appellate court searches the record for a basis supporting the court's exercise of discretion. </w:t>
      </w:r>
      <w:r>
        <w:rPr>
          <w:bCs/>
          <w:i/>
        </w:rPr>
        <w:t>State v. Pharr</w:t>
      </w:r>
      <w:r>
        <w:rPr>
          <w:bCs/>
        </w:rPr>
        <w:t xml:space="preserve">, 115 Wis. 2d 334, 342-44, 340 N.W.2d 498 (1983). For that ruling to be upheld, however, "there should be evidence in the record that discretion was in fact exercised and the basis of that exercise of discretion should be set forth." </w:t>
      </w:r>
      <w:r w:rsidRPr="00BE28D2">
        <w:rPr>
          <w:bCs/>
          <w:i/>
          <w:iCs/>
        </w:rPr>
        <w:t>Id</w:t>
      </w:r>
      <w:r>
        <w:rPr>
          <w:bCs/>
        </w:rPr>
        <w:t xml:space="preserve">. at 342 </w:t>
      </w:r>
      <w:r>
        <w:rPr>
          <w:bCs/>
        </w:rPr>
        <w:lastRenderedPageBreak/>
        <w:t xml:space="preserve">(quoting </w:t>
      </w:r>
      <w:r>
        <w:rPr>
          <w:bCs/>
          <w:i/>
        </w:rPr>
        <w:t>State v. Hutnik</w:t>
      </w:r>
      <w:r>
        <w:rPr>
          <w:bCs/>
        </w:rPr>
        <w:t xml:space="preserve">, 39 Wis. 2d 754, 764, 159 N.W.2d 733 (1968)). The doctrine thus presupposes a discretionary decision actually exists: one reached through actual consideration of the relevant facts and the proper legal standard. </w:t>
      </w:r>
      <w:r>
        <w:rPr>
          <w:bCs/>
          <w:i/>
        </w:rPr>
        <w:t>McCleary v. State</w:t>
      </w:r>
      <w:r>
        <w:rPr>
          <w:bCs/>
        </w:rPr>
        <w:t xml:space="preserve">, 49 Wis. 2d 263, 277-78, 182 N.W.2d 512 (1971); </w:t>
      </w:r>
      <w:r>
        <w:rPr>
          <w:bCs/>
          <w:i/>
          <w:iCs/>
        </w:rPr>
        <w:t>see also</w:t>
      </w:r>
      <w:r>
        <w:rPr>
          <w:bCs/>
        </w:rPr>
        <w:t xml:space="preserve"> </w:t>
      </w:r>
      <w:r>
        <w:rPr>
          <w:bCs/>
          <w:i/>
        </w:rPr>
        <w:t>Mogged v. Mogged</w:t>
      </w:r>
      <w:r>
        <w:rPr>
          <w:bCs/>
        </w:rPr>
        <w:t>, 2000 WI App 39, ¶9, 233 Wis. 2d 90, 607 N.W.2d 662.</w:t>
      </w:r>
    </w:p>
    <w:p w14:paraId="5727B6DE" w14:textId="77777777" w:rsidR="00ED16E0" w:rsidRPr="00A6543F" w:rsidRDefault="00000000">
      <w:pPr>
        <w:spacing w:before="240" w:after="240"/>
        <w:ind w:firstLine="720"/>
        <w:rPr>
          <w:bCs/>
        </w:rPr>
      </w:pPr>
      <w:r>
        <w:rPr>
          <w:bCs/>
        </w:rPr>
        <w:t xml:space="preserve">Failure to articulate “magic words” like "weighing" or "balancing" does not itself establish a failure to exercise discretion. </w:t>
      </w:r>
      <w:r>
        <w:rPr>
          <w:bCs/>
          <w:i/>
        </w:rPr>
        <w:t>State v. Lindh</w:t>
      </w:r>
      <w:r>
        <w:rPr>
          <w:bCs/>
        </w:rPr>
        <w:t xml:space="preserve">, 161 Wis. 2d 324, 361 n.14, 468 N.W.2d 168 (1991). Independent review cures terse explanations where the analytical work was done. See </w:t>
      </w:r>
      <w:r>
        <w:rPr>
          <w:bCs/>
          <w:i/>
        </w:rPr>
        <w:t>State v. Hunt</w:t>
      </w:r>
      <w:r>
        <w:rPr>
          <w:bCs/>
        </w:rPr>
        <w:t xml:space="preserve">, 2003 WI 81, ¶¶43-47, 263 Wis. 2d 1, 666 N.W.2d 771 (independent review appropriate where circuit court provided explanation and record supplied a reasonable basis). But </w:t>
      </w:r>
      <w:r>
        <w:rPr>
          <w:bCs/>
          <w:i/>
        </w:rPr>
        <w:t>Hunt</w:t>
      </w:r>
      <w:r>
        <w:rPr>
          <w:bCs/>
        </w:rPr>
        <w:t xml:space="preserve"> recognized the doctrine "may be too onerous . . . or may be inappropriate under the circumstances presented." </w:t>
      </w:r>
      <w:r w:rsidRPr="00BE28D2">
        <w:rPr>
          <w:bCs/>
          <w:i/>
          <w:iCs/>
        </w:rPr>
        <w:t>Id</w:t>
      </w:r>
      <w:r>
        <w:rPr>
          <w:bCs/>
        </w:rPr>
        <w:t>. ¶45 n.14. It does not authorize first-instance gatekeeping in place of a trial court ruling.</w:t>
      </w:r>
    </w:p>
    <w:p w14:paraId="299F57D7" w14:textId="77777777" w:rsidR="00ED16E0" w:rsidRDefault="00000000">
      <w:pPr>
        <w:spacing w:before="240" w:after="240"/>
        <w:ind w:firstLine="720"/>
      </w:pPr>
      <w:r>
        <w:t xml:space="preserve">Where the judge did not review the evidence whose prejudicial force must be weighed, the deficiency is not the stylistic shortcoming </w:t>
      </w:r>
      <w:r>
        <w:rPr>
          <w:i/>
          <w:iCs/>
        </w:rPr>
        <w:t>Lindh</w:t>
      </w:r>
      <w:r>
        <w:t xml:space="preserve"> tolerates; it is the absence of the factual predicate required for discretion under </w:t>
      </w:r>
      <w:r>
        <w:rPr>
          <w:i/>
          <w:iCs/>
        </w:rPr>
        <w:t>Hutnik</w:t>
      </w:r>
      <w:r>
        <w:t xml:space="preserve">, </w:t>
      </w:r>
      <w:r>
        <w:rPr>
          <w:i/>
          <w:iCs/>
        </w:rPr>
        <w:t>Pharr</w:t>
      </w:r>
      <w:r>
        <w:t xml:space="preserve">, and </w:t>
      </w:r>
      <w:r>
        <w:rPr>
          <w:i/>
          <w:iCs/>
        </w:rPr>
        <w:lastRenderedPageBreak/>
        <w:t>Hunt</w:t>
      </w:r>
      <w:r>
        <w:t xml:space="preserve">. </w:t>
      </w:r>
      <w:r>
        <w:rPr>
          <w:i/>
          <w:iCs/>
        </w:rPr>
        <w:t>Hutnik</w:t>
      </w:r>
      <w:r>
        <w:t xml:space="preserve"> states the governing requirement: “there should be evidence in the record that discretion was in fact exercised and the basis of that exercise of discretion should be set forth.” 39 Wis. 2d at 764. A court cannot set forth the basis for weighing evidence it has never examined. Here the distinction is clear: defense counsel had reviewed the images; the circuit court had not. The court’s ruling rested on file names, not content—and no articulable basis for discretionary weighing could exist. That the court knew what the files were named is no substitute for knowledge of what they depicted. The record affirmatively demonstrates the circuit court did not exercise discretion. The deficiency was not incomplete reasoning but missing review, a failure occurring despite defense counsel’s explicit demand for an evidentiary hearing and the court’s later acknowledgment it had not viewed the evidence.</w:t>
      </w:r>
    </w:p>
    <w:p w14:paraId="60F989E0" w14:textId="77777777" w:rsidR="00ED16E0" w:rsidRDefault="00000000">
      <w:pPr>
        <w:spacing w:before="240" w:after="240"/>
        <w:ind w:firstLine="720"/>
      </w:pPr>
      <w:r>
        <w:t>Defense counsel’s pretrial demand targeted the most dangerous form of evidence, the images items, warning litigating them risked “introducing a trial inside of a trial.” (134:23-24). Counsel requested a separate evidentiary hearing, arguing the State had not established by a preponderance these acts were attributable to Mr. Christopherson. (134:25, 27-28).</w:t>
      </w:r>
    </w:p>
    <w:p w14:paraId="602B4E1C" w14:textId="77777777" w:rsidR="00ED16E0" w:rsidRDefault="00000000">
      <w:pPr>
        <w:spacing w:before="240" w:after="240"/>
        <w:ind w:firstLine="720"/>
      </w:pPr>
      <w:r>
        <w:lastRenderedPageBreak/>
        <w:t>At trial, after the State displayed a selection of images to which the court acknowledged it again “did not see the videos” because the screen was positioned away from the bench. (140:5). The prosecutor agreed it is “best practice for the Court to have viewed that stuff.” (140:6). Defense counsel used the opportunity to reiterate its standing objection to admissibility.</w:t>
      </w:r>
    </w:p>
    <w:p w14:paraId="78606C0C" w14:textId="77777777" w:rsidR="00ED16E0" w:rsidRDefault="00000000">
      <w:pPr>
        <w:spacing w:before="240" w:after="240"/>
        <w:ind w:firstLine="720"/>
      </w:pPr>
      <w:r>
        <w:t xml:space="preserve">A </w:t>
      </w:r>
      <w:r>
        <w:rPr>
          <w:i/>
          <w:iCs/>
        </w:rPr>
        <w:t>Sullivan</w:t>
      </w:r>
      <w:r>
        <w:t xml:space="preserve"> and § 904.03 determination,  involving extensive, highly inflammatory other-acts material in readily viewable form-requires the gatekeeping judge to assess what the evidence is, not just how it is described. As argued </w:t>
      </w:r>
      <w:r>
        <w:rPr>
          <w:i/>
          <w:iCs/>
        </w:rPr>
        <w:t>infra</w:t>
      </w:r>
      <w:r>
        <w:t>, the court's pretrial ruling was sweeping but short on analysis: it announced it would not "get too detailed" and then stated it was finding (globally and "individually") the probative value was not substantially outweighed by unfair prejudice. (134:46-47). It made this ruling without viewing the photographic evidence. Further, the court did not attempt to describe or weigh the evidence based on even the evidence it did have- text-descriptions in the record. That is not "inadequate explanation"; it is a missing predicate for the trial court to exercise discretion in weighing the unfairly prejudicial nature of the evidence against its probative value.</w:t>
      </w:r>
    </w:p>
    <w:p w14:paraId="261E0D6F" w14:textId="77777777" w:rsidR="00ED16E0" w:rsidRDefault="00000000">
      <w:pPr>
        <w:spacing w:before="240" w:after="240"/>
        <w:ind w:firstLine="720"/>
      </w:pPr>
      <w:r>
        <w:lastRenderedPageBreak/>
        <w:t xml:space="preserve">To “independently review” here the appellate court would become the first to examine the evidence </w:t>
      </w:r>
      <w:r>
        <w:rPr>
          <w:i/>
          <w:iCs/>
        </w:rPr>
        <w:t xml:space="preserve">and </w:t>
      </w:r>
      <w:r>
        <w:t xml:space="preserve">remedy the </w:t>
      </w:r>
      <w:r>
        <w:rPr>
          <w:i/>
          <w:iCs/>
        </w:rPr>
        <w:t>Sullivan</w:t>
      </w:r>
      <w:r>
        <w:t xml:space="preserve"> analysis of the trial court. That is first-impression evidentiary gatekeeping, not “independent review.”</w:t>
      </w:r>
    </w:p>
    <w:p w14:paraId="69F62593" w14:textId="77777777" w:rsidR="00ED16E0" w:rsidRDefault="00000000">
      <w:pPr>
        <w:spacing w:before="240" w:after="240"/>
        <w:ind w:firstLine="720"/>
      </w:pPr>
      <w:r>
        <w:t>Persuasive federal authority confirms this principle.</w:t>
      </w:r>
      <w:r>
        <w:rPr>
          <w:rStyle w:val="FootnoteReference"/>
          <w:vertAlign w:val="superscript"/>
        </w:rPr>
        <w:footnoteReference w:id="1"/>
      </w:r>
      <w:r>
        <w:t xml:space="preserve"> In </w:t>
      </w:r>
      <w:r>
        <w:rPr>
          <w:i/>
          <w:iCs/>
        </w:rPr>
        <w:t>United States v. Curtin</w:t>
      </w:r>
      <w:r>
        <w:t xml:space="preserve">, the Ninth Circuit confronted an analogous scenario: the government offered sexually explicit stories as Rule 404(b) intent evidence in a prosecution for traveling across state lines to engage in sexual acts with a minor, and the district court admitted five stories after reading only two in full, relying on the government's "snippets" and offer of proof for the rest. 489 F.3d 935, 956-58 (9th Cir. 2007) (en banc). The court acknowledged it was "at somewhat of a disadvantage not knowing exactly what items" were in the exhibits. </w:t>
      </w:r>
      <w:r>
        <w:rPr>
          <w:i/>
          <w:iCs/>
        </w:rPr>
        <w:t>Id</w:t>
      </w:r>
      <w:r>
        <w:t xml:space="preserve">. at 957. The court reversed and held "as a matter of </w:t>
      </w:r>
      <w:r>
        <w:lastRenderedPageBreak/>
        <w:t xml:space="preserve">law" Rule 403 discretion is not properly exercised when the judge "fails to place on the scales and personally examine and evaluate all that it must weigh." </w:t>
      </w:r>
      <w:r>
        <w:rPr>
          <w:i/>
          <w:iCs/>
        </w:rPr>
        <w:t>Id</w:t>
      </w:r>
      <w:r>
        <w:t xml:space="preserve">. at 958. </w:t>
      </w:r>
      <w:r>
        <w:rPr>
          <w:i/>
          <w:iCs/>
        </w:rPr>
        <w:t xml:space="preserve">Curtin </w:t>
      </w:r>
      <w:r>
        <w:t xml:space="preserve">rejected reliance on advocacy summaries: "Relying only on the descriptions of adversary counsel is insufficient . . . . [o]ne cannot evaluate in a Rule 403 context what one has not seen or read." </w:t>
      </w:r>
      <w:r>
        <w:rPr>
          <w:i/>
          <w:iCs/>
        </w:rPr>
        <w:t>Id</w:t>
      </w:r>
      <w:r>
        <w:t xml:space="preserve">. The point was not an incomplete explanation but the absence of the factual predicate required for discretion. </w:t>
      </w:r>
      <w:r>
        <w:rPr>
          <w:i/>
          <w:iCs/>
        </w:rPr>
        <w:t>Id</w:t>
      </w:r>
      <w:r>
        <w:t xml:space="preserve">. at 957-58. </w:t>
      </w:r>
    </w:p>
    <w:p w14:paraId="230C78D5" w14:textId="77777777" w:rsidR="00ED16E0" w:rsidRDefault="00000000">
      <w:pPr>
        <w:spacing w:before="240" w:after="240"/>
        <w:ind w:firstLine="720"/>
      </w:pPr>
      <w:r>
        <w:rPr>
          <w:i/>
          <w:iCs/>
        </w:rPr>
        <w:t>United States v. Loughry</w:t>
      </w:r>
      <w:r>
        <w:t xml:space="preserve">, a persuasive Seventh Circuit decision, applied </w:t>
      </w:r>
      <w:r>
        <w:rPr>
          <w:i/>
          <w:iCs/>
        </w:rPr>
        <w:t xml:space="preserve">Curtin </w:t>
      </w:r>
      <w:r>
        <w:t xml:space="preserve">to pornographic videos. 660 F.3d 965 (7th Cir. 2011). The district court admitted "hard core" child-pornography videos without reviewing them, acknowledging it was "at somewhat of a disadvantage not knowing exactly what items and depictions . . . are on Government's [exhibits]" yet relying on the government's vague descriptions to conduct Rule 403 balancing. </w:t>
      </w:r>
      <w:r>
        <w:rPr>
          <w:i/>
          <w:iCs/>
        </w:rPr>
        <w:t>Id</w:t>
      </w:r>
      <w:r>
        <w:t xml:space="preserve">. at 970-71 (alteration in original.). Even after a witness described one video as depicting "[an] adult male performing a sex act on [a] female minor," the Seventh Circuit held this inadequate because it did not "tell the court which acts are shown," and "[w]hile all depictions of an adult engaging in sexual acts with a young child are bound to be repulsive, the impact on the jury will depend upon the nature and severity of </w:t>
      </w:r>
      <w:r>
        <w:lastRenderedPageBreak/>
        <w:t xml:space="preserve">the acts depicted." </w:t>
      </w:r>
      <w:r>
        <w:rPr>
          <w:i/>
          <w:iCs/>
        </w:rPr>
        <w:t>Id</w:t>
      </w:r>
      <w:r>
        <w:t xml:space="preserve">. at 972. The court emphasized "[t]he safest course [. . .] is for the court to review the contested evidence for itself" and explained why that requirement is indispensable: "highly reprehensible and offensive content that might lead a jury to convict because it thinks that the defendant is a bad person and deserves punishment, regardless of whether the defendant committed the charged crime." </w:t>
      </w:r>
      <w:r>
        <w:rPr>
          <w:i/>
          <w:iCs/>
        </w:rPr>
        <w:t>Id</w:t>
      </w:r>
      <w:r>
        <w:t xml:space="preserve">. at 971-72. Ruling the district court abused its discretion the court reasoned: "without looking at the videos for itself, the court could not have fully assessed the potential prejudice [. . .] and weighed it against the evidence's probative value." </w:t>
      </w:r>
      <w:r>
        <w:rPr>
          <w:i/>
          <w:iCs/>
        </w:rPr>
        <w:t>Id</w:t>
      </w:r>
      <w:r>
        <w:t xml:space="preserve">. at 972. </w:t>
      </w:r>
    </w:p>
    <w:p w14:paraId="30844398" w14:textId="77777777" w:rsidR="00ED16E0" w:rsidRDefault="00000000">
      <w:pPr>
        <w:spacing w:before="240" w:after="240"/>
        <w:ind w:firstLine="720"/>
      </w:pPr>
      <w:r>
        <w:t xml:space="preserve">The Third Circuit adopted </w:t>
      </w:r>
      <w:r>
        <w:rPr>
          <w:i/>
          <w:iCs/>
        </w:rPr>
        <w:t xml:space="preserve">Curtin </w:t>
      </w:r>
      <w:r>
        <w:t xml:space="preserve">and </w:t>
      </w:r>
      <w:r>
        <w:rPr>
          <w:i/>
          <w:iCs/>
        </w:rPr>
        <w:t xml:space="preserve">Loughry's </w:t>
      </w:r>
      <w:r>
        <w:t xml:space="preserve">reasoning and made explicit how failure to review affects deference on appeal. </w:t>
      </w:r>
      <w:r>
        <w:rPr>
          <w:i/>
          <w:iCs/>
        </w:rPr>
        <w:t>United States v. Cunningham</w:t>
      </w:r>
      <w:r>
        <w:t xml:space="preserve">, 694 F.3d 372 (3d Cir. 2012). </w:t>
      </w:r>
      <w:r>
        <w:rPr>
          <w:i/>
          <w:iCs/>
        </w:rPr>
        <w:t xml:space="preserve">Cunningham </w:t>
      </w:r>
      <w:r>
        <w:t xml:space="preserve">held refusing "to view the video excerpts to assess their prejudicial impact and instead, over objection, rely only on written descriptions" was "arbitrary . . . [and] unreasonable." </w:t>
      </w:r>
      <w:r>
        <w:rPr>
          <w:i/>
          <w:iCs/>
        </w:rPr>
        <w:t>Id</w:t>
      </w:r>
      <w:r>
        <w:t xml:space="preserve">. at 387. The court emphasized a district court must know what the evidence is, not mere descriptions "in order for [its] weighing discretion to be properly exercised and entitled to deference on appeal." </w:t>
      </w:r>
      <w:r>
        <w:rPr>
          <w:i/>
          <w:iCs/>
        </w:rPr>
        <w:t>Id</w:t>
      </w:r>
      <w:r>
        <w:t>. at 386-87 (</w:t>
      </w:r>
      <w:r>
        <w:rPr>
          <w:i/>
          <w:iCs/>
        </w:rPr>
        <w:t>quoting Curtin</w:t>
      </w:r>
      <w:r>
        <w:t xml:space="preserve">, 489 F.3d at 957). Because the court abused its discretion, the ruling "is not entitled to the full range </w:t>
      </w:r>
      <w:r>
        <w:lastRenderedPageBreak/>
        <w:t xml:space="preserve">of deference that we would normally give to it on appeal." </w:t>
      </w:r>
      <w:r>
        <w:rPr>
          <w:i/>
          <w:iCs/>
        </w:rPr>
        <w:t>Id</w:t>
      </w:r>
      <w:r>
        <w:t xml:space="preserve">. at 388. The remedy followed: conviction vacated and remanded for new trial. </w:t>
      </w:r>
      <w:r>
        <w:rPr>
          <w:i/>
          <w:iCs/>
        </w:rPr>
        <w:t>Id</w:t>
      </w:r>
      <w:r>
        <w:t>. at 375.</w:t>
      </w:r>
    </w:p>
    <w:p w14:paraId="5D21EB3E" w14:textId="77777777" w:rsidR="00ED16E0" w:rsidRDefault="00000000">
      <w:pPr>
        <w:spacing w:before="240" w:after="240"/>
        <w:ind w:firstLine="720"/>
      </w:pPr>
      <w:r>
        <w:t xml:space="preserve">The same logic applies here. Where the trial court did not review the audiovisual exhibits it admitted, there is no discretionary determination to which deference can attach. </w:t>
      </w:r>
      <w:r>
        <w:rPr>
          <w:i/>
          <w:iCs/>
        </w:rPr>
        <w:t>Curtin</w:t>
      </w:r>
      <w:r>
        <w:t xml:space="preserve">, 489 F.3d at 957-58; </w:t>
      </w:r>
      <w:r>
        <w:rPr>
          <w:i/>
          <w:iCs/>
        </w:rPr>
        <w:t>Loughry</w:t>
      </w:r>
      <w:r>
        <w:t xml:space="preserve">, 660 F.3d at 971-72; </w:t>
      </w:r>
      <w:r>
        <w:rPr>
          <w:i/>
          <w:iCs/>
        </w:rPr>
        <w:t>Cunningham</w:t>
      </w:r>
      <w:r>
        <w:t xml:space="preserve">, 694 F.3d at 386-88.  </w:t>
      </w:r>
    </w:p>
    <w:p w14:paraId="794A9F3C" w14:textId="77777777" w:rsidR="00ED16E0" w:rsidRDefault="00000000">
      <w:pPr>
        <w:pStyle w:val="Heading3"/>
        <w:numPr>
          <w:ilvl w:val="2"/>
          <w:numId w:val="5"/>
        </w:numPr>
      </w:pPr>
      <w:r>
        <w:t xml:space="preserve">The Other-Acts Evidence Fails the </w:t>
      </w:r>
      <w:r>
        <w:rPr>
          <w:i/>
          <w:iCs/>
        </w:rPr>
        <w:t>Sullivan</w:t>
      </w:r>
      <w:r>
        <w:t xml:space="preserve"> Analysis on the Merits.</w:t>
      </w:r>
    </w:p>
    <w:p w14:paraId="3ECBA859" w14:textId="77777777" w:rsidR="00ED16E0" w:rsidRDefault="00A6543F">
      <w:pPr>
        <w:spacing w:before="240" w:after="240"/>
        <w:ind w:firstLine="720"/>
      </w:pPr>
      <w:r>
        <w:t xml:space="preserve">Had the court reviewed, the other-acts evidence fails the </w:t>
      </w:r>
      <w:r>
        <w:rPr>
          <w:i/>
          <w:iCs/>
        </w:rPr>
        <w:t>Sullivan</w:t>
      </w:r>
      <w:r>
        <w:t xml:space="preserve"> analysis on the merits and requires reversal and a new trial. The circuit court erred in admitting other-acts evidence for purposes of motive, intent, and credibility of the victim. Other-acts are admissible only if offered for an acceptable purpose under § 904.04(2), if relevant under § 904.01, and if the probative value is not “substantially outweighed by the danger of unfair prejudice, confusion of the issues or misleading the jury, or by . . . needless presentation of cumulative evidence.” </w:t>
      </w:r>
      <w:r>
        <w:rPr>
          <w:i/>
          <w:iCs/>
        </w:rPr>
        <w:t>State v. Sullivan</w:t>
      </w:r>
      <w:r>
        <w:t xml:space="preserve">, 216 Wis. 2d 768, 772-73, 576 N.W.2d 30 (1998). Further, “other-acts evidence should be used sparingly and only when reasonably necessary.” </w:t>
      </w:r>
      <w:r>
        <w:rPr>
          <w:i/>
          <w:iCs/>
        </w:rPr>
        <w:t>State v. Veach</w:t>
      </w:r>
      <w:r>
        <w:t>, 2002 WI 110, ¶48, 255 Wis. 2d 390.</w:t>
      </w:r>
    </w:p>
    <w:p w14:paraId="2606395F" w14:textId="77777777" w:rsidR="00ED16E0" w:rsidRDefault="00000000">
      <w:pPr>
        <w:spacing w:before="240" w:after="240"/>
        <w:ind w:firstLine="720"/>
      </w:pPr>
      <w:r>
        <w:lastRenderedPageBreak/>
        <w:t>The circuit court’s admission of the other-acts evidence constitutes an erroneous exercise of discretion warranting reversal. The State sought to introduce evidence of: (1) child pornography images found on electronic devices were discovered approximately two years after the alleged incident with JV1 in June 2017; and (2) multiple items totaling 28 separate other-acts as admitted at the March 28, 2023 motion hearing (134:46). Defense counsel objected to these other-acts, arguing credibility of the victim was not an applicable purpose (138:8-9). Despite these objections, the circuit court admitted other-acts evidence for purposes of intent, motive, and credibility of the victim. At trial, the State presented a selection from those items. (140:5).</w:t>
      </w:r>
    </w:p>
    <w:p w14:paraId="57D3BF96" w14:textId="77777777" w:rsidR="00ED16E0" w:rsidRDefault="00000000">
      <w:pPr>
        <w:spacing w:before="240" w:after="240"/>
        <w:ind w:firstLine="720"/>
      </w:pPr>
      <w:r>
        <w:t xml:space="preserve">This Court should reverse the circuit court’s decision for three independent reasons: (1) the circuit court failed to articulate its reasoning in applying the </w:t>
      </w:r>
      <w:r>
        <w:rPr>
          <w:i/>
          <w:iCs/>
        </w:rPr>
        <w:t>Sullivan</w:t>
      </w:r>
      <w:r>
        <w:t xml:space="preserve"> framework to the specific facts of this case; (2) the other-acts evidence was not probative of motive, intent, or credibility because it lacked sufficient similarity and temporal proximity to the charged offense; and (3) the probative value, if any, was substantially outweighed by the danger of unfair prejudice.</w:t>
      </w:r>
    </w:p>
    <w:p w14:paraId="7169C1AB" w14:textId="77777777" w:rsidR="00ED16E0" w:rsidRDefault="00000000">
      <w:pPr>
        <w:pStyle w:val="Heading4"/>
        <w:numPr>
          <w:ilvl w:val="3"/>
          <w:numId w:val="6"/>
        </w:numPr>
      </w:pPr>
      <w:r>
        <w:t xml:space="preserve">The Circuit Court Failed to Adequately </w:t>
      </w:r>
      <w:r>
        <w:lastRenderedPageBreak/>
        <w:t xml:space="preserve">Apply the </w:t>
      </w:r>
      <w:r>
        <w:rPr>
          <w:i/>
          <w:iCs/>
        </w:rPr>
        <w:t xml:space="preserve">Sullivan </w:t>
      </w:r>
      <w:r>
        <w:t>Framework.</w:t>
      </w:r>
    </w:p>
    <w:p w14:paraId="0137B7B5" w14:textId="77777777" w:rsidR="00ED16E0" w:rsidRDefault="00000000">
      <w:pPr>
        <w:spacing w:before="240" w:after="240"/>
        <w:ind w:firstLine="720"/>
      </w:pPr>
      <w:r>
        <w:t xml:space="preserve">Wisconsin appellate courts will sustain an evidentiary ruling if the circuit court examined the relevant facts, applied a proper standard of law, and using a demonstrative rational process, reached a conclusion a reasonable judge could reach. </w:t>
      </w:r>
      <w:r>
        <w:rPr>
          <w:i/>
          <w:iCs/>
        </w:rPr>
        <w:t>Pharr</w:t>
      </w:r>
      <w:r>
        <w:t xml:space="preserve">, 115 Wis. 2d at 342. A circuit court’s failure to delineate the factors influencing its decision constitutes an erroneous exercise of discretion. </w:t>
      </w:r>
      <w:r>
        <w:rPr>
          <w:i/>
          <w:iCs/>
        </w:rPr>
        <w:t>McCleary</w:t>
      </w:r>
      <w:r>
        <w:t>, 49 Wis. 2d at 282.</w:t>
      </w:r>
    </w:p>
    <w:p w14:paraId="2BD4EAE2" w14:textId="400FEB25" w:rsidR="00142ACE" w:rsidRDefault="00000000">
      <w:pPr>
        <w:spacing w:before="240" w:after="240"/>
        <w:ind w:firstLine="720"/>
      </w:pPr>
      <w:r>
        <w:t xml:space="preserve">In </w:t>
      </w:r>
      <w:r>
        <w:rPr>
          <w:i/>
          <w:iCs/>
        </w:rPr>
        <w:t>Sullivan</w:t>
      </w:r>
      <w:r>
        <w:t xml:space="preserve">, the Wisconsin Supreme Court </w:t>
      </w:r>
      <w:r w:rsidR="00142ACE">
        <w:t>indicated:</w:t>
      </w:r>
    </w:p>
    <w:p w14:paraId="17F6EA1E" w14:textId="447F9744" w:rsidR="00142ACE" w:rsidRPr="00142ACE" w:rsidRDefault="00000000" w:rsidP="00142ACE">
      <w:pPr>
        <w:spacing w:before="240" w:after="240" w:line="276" w:lineRule="auto"/>
        <w:ind w:left="720"/>
        <w:rPr>
          <w:sz w:val="20"/>
          <w:szCs w:val="20"/>
        </w:rPr>
      </w:pPr>
      <w:r w:rsidRPr="00142ACE">
        <w:rPr>
          <w:sz w:val="20"/>
          <w:szCs w:val="20"/>
        </w:rPr>
        <w:t>[t]</w:t>
      </w:r>
      <w:proofErr w:type="gramStart"/>
      <w:r w:rsidRPr="00142ACE">
        <w:rPr>
          <w:sz w:val="20"/>
          <w:szCs w:val="20"/>
        </w:rPr>
        <w:t>he</w:t>
      </w:r>
      <w:proofErr w:type="gramEnd"/>
      <w:r w:rsidRPr="00142ACE">
        <w:rPr>
          <w:sz w:val="20"/>
          <w:szCs w:val="20"/>
        </w:rPr>
        <w:t xml:space="preserve"> proponent and the opponent of the other-acts evidence must clearly articulate their reasoning for seeking admission or exclusion of the evidence and must apply the facts of the case to the analytical framework. The circuit court must similarly articulate its reasoning for admitting or excluding the evidence, applying the facts of the case to the analytical framework.</w:t>
      </w:r>
    </w:p>
    <w:p w14:paraId="518F5486" w14:textId="2243A3FD" w:rsidR="00ED16E0" w:rsidRDefault="00000000" w:rsidP="00142ACE">
      <w:pPr>
        <w:spacing w:before="240" w:after="240"/>
      </w:pPr>
      <w:r>
        <w:t>216 Wis. 2d at 774.</w:t>
      </w:r>
    </w:p>
    <w:p w14:paraId="02AA743F" w14:textId="77777777" w:rsidR="00ED16E0" w:rsidRDefault="00000000">
      <w:pPr>
        <w:spacing w:before="240" w:after="240"/>
        <w:ind w:firstLine="720"/>
      </w:pPr>
      <w:r>
        <w:t xml:space="preserve">Here, the circuit court failed to engage in the careful analysis required by </w:t>
      </w:r>
      <w:r>
        <w:rPr>
          <w:i/>
          <w:iCs/>
        </w:rPr>
        <w:t>Sullivan</w:t>
      </w:r>
      <w:r>
        <w:t>. The court admitted 28 separate other-acts in a conclusory fashion, stating only:</w:t>
      </w:r>
    </w:p>
    <w:p w14:paraId="603A527A" w14:textId="77777777" w:rsidR="00ED16E0" w:rsidRDefault="00000000">
      <w:pPr>
        <w:spacing w:before="240" w:line="276" w:lineRule="auto"/>
        <w:ind w:left="720"/>
        <w:rPr>
          <w:sz w:val="20"/>
          <w:szCs w:val="20"/>
        </w:rPr>
      </w:pPr>
      <w:r>
        <w:rPr>
          <w:sz w:val="20"/>
          <w:szCs w:val="20"/>
        </w:rPr>
        <w:t xml:space="preserve">I’m not going to get too detailed on this, but as I indicated, all of these items as I go through the list going from one to 28 are indeed other-acts. I'm going to find that they’re relevant, that </w:t>
      </w:r>
      <w:r>
        <w:rPr>
          <w:sz w:val="20"/>
          <w:szCs w:val="20"/>
        </w:rPr>
        <w:lastRenderedPageBreak/>
        <w:t>probative value of the whole and individually does not substantially outweigh the risk of unfair prejudice.</w:t>
      </w:r>
    </w:p>
    <w:p w14:paraId="387AF800" w14:textId="77777777" w:rsidR="00ED16E0" w:rsidRDefault="00000000">
      <w:pPr>
        <w:spacing w:before="240" w:after="240"/>
      </w:pPr>
      <w:r>
        <w:t xml:space="preserve"> (134:46).</w:t>
      </w:r>
    </w:p>
    <w:p w14:paraId="6088F522" w14:textId="77777777" w:rsidR="00ED16E0" w:rsidRDefault="00000000">
      <w:pPr>
        <w:spacing w:before="240" w:after="240"/>
        <w:ind w:firstLine="720"/>
      </w:pPr>
      <w:r>
        <w:t xml:space="preserve">This perfunctory analysis falls far short of </w:t>
      </w:r>
      <w:r>
        <w:rPr>
          <w:i/>
          <w:iCs/>
        </w:rPr>
        <w:t xml:space="preserve">Sullivan’s </w:t>
      </w:r>
      <w:r>
        <w:t>requirements. The circuit court did not: (1) carefully probe the permissible purposes for admission; (2) carefully articulate whether the other-acts evidence relates to a consequential fact or proposition in the criminal prosecution; (3) carefully explore the probative value of the other-acts evidence; or (4) carefully articulate the balance of probative value and unfair prejudice. 216 Wis. 2d at 774.</w:t>
      </w:r>
    </w:p>
    <w:p w14:paraId="01311117" w14:textId="77777777" w:rsidR="00ED16E0" w:rsidRDefault="00000000">
      <w:pPr>
        <w:pStyle w:val="Heading4"/>
        <w:numPr>
          <w:ilvl w:val="3"/>
          <w:numId w:val="6"/>
        </w:numPr>
      </w:pPr>
      <w:r>
        <w:t>The other-acts Evidence Was Not Probative of Motive, Intent, or Absence of Mistake.</w:t>
      </w:r>
    </w:p>
    <w:p w14:paraId="52695CDF" w14:textId="77777777" w:rsidR="00ED16E0" w:rsidRDefault="00000000">
      <w:pPr>
        <w:spacing w:before="240" w:after="240"/>
        <w:ind w:firstLine="720"/>
      </w:pPr>
      <w:r>
        <w:t xml:space="preserve">Even if the circuit court had properly articulated its reasoning, the other-acts evidence admitted in this case fails the relevance prong of the </w:t>
      </w:r>
      <w:r>
        <w:rPr>
          <w:i/>
          <w:iCs/>
        </w:rPr>
        <w:t xml:space="preserve">Sullivan </w:t>
      </w:r>
      <w:r>
        <w:t xml:space="preserve">test. The probative value of other-acts evidence depends on the other incident “nearness in time, place, and circumstances to the alleged crime.” </w:t>
      </w:r>
      <w:r>
        <w:rPr>
          <w:i/>
          <w:iCs/>
        </w:rPr>
        <w:t>Sullivan</w:t>
      </w:r>
      <w:r>
        <w:t xml:space="preserve">, 216 Wis. 2d at 785. </w:t>
      </w:r>
    </w:p>
    <w:p w14:paraId="2F1CB5B9" w14:textId="77777777" w:rsidR="00ED16E0" w:rsidRPr="002F035C" w:rsidRDefault="00000000">
      <w:pPr>
        <w:pStyle w:val="Heading5"/>
        <w:numPr>
          <w:ilvl w:val="4"/>
          <w:numId w:val="6"/>
        </w:numPr>
        <w:rPr>
          <w:bCs/>
        </w:rPr>
      </w:pPr>
      <w:r>
        <w:rPr>
          <w:bCs/>
        </w:rPr>
        <w:t>The other-acts evidence fails the motive theory on temporal and substantive grounds.</w:t>
      </w:r>
    </w:p>
    <w:p w14:paraId="7B744FEC" w14:textId="0AD851D6" w:rsidR="002F035C" w:rsidRDefault="00000000" w:rsidP="002F035C">
      <w:pPr>
        <w:spacing w:before="240" w:after="240"/>
        <w:ind w:firstLine="720"/>
        <w:rPr>
          <w:bCs/>
        </w:rPr>
      </w:pPr>
      <w:r>
        <w:rPr>
          <w:bCs/>
        </w:rPr>
        <w:lastRenderedPageBreak/>
        <w:t xml:space="preserve">Motive is “a cause or reason that moves the will and induces action . . . [a]n inducement, or that which leads or tempts the mind to indulge in a criminal act.” </w:t>
      </w:r>
      <w:r>
        <w:rPr>
          <w:bCs/>
          <w:i/>
        </w:rPr>
        <w:t>State v. Cartagena</w:t>
      </w:r>
      <w:r>
        <w:rPr>
          <w:bCs/>
        </w:rPr>
        <w:t xml:space="preserve">, 99 Wis. 2d 657, 668-69, 299 N.W.2d 872 (1981). That definition carries an inherent temporal logic: the inducement must precede or at least coincide with the act it allegedly motivated. </w:t>
      </w:r>
      <w:r>
        <w:rPr>
          <w:bCs/>
          <w:i/>
        </w:rPr>
        <w:t>State v. Cofield</w:t>
      </w:r>
      <w:r>
        <w:rPr>
          <w:bCs/>
        </w:rPr>
        <w:t xml:space="preserve"> holds that motive evidence requires “some conceivable link between the other act and the crime, such as time and circumstance.” 2000 WI App 196, ¶12, 238 Wis. 2d 467. Here, the child pornography was discovered in August 2019</w:t>
      </w:r>
      <w:r w:rsidR="000E3ACC">
        <w:rPr>
          <w:bCs/>
        </w:rPr>
        <w:t xml:space="preserve">, </w:t>
      </w:r>
      <w:r>
        <w:rPr>
          <w:bCs/>
        </w:rPr>
        <w:t xml:space="preserve">more than two years after the alleged 2017 offense. Evidence discovered after the charged conduct cannot have induced it. The State attempted to cure this problem by arguing the files “w[ere] in existence in August of 2019” and “[c]ommonsense says that it was there earlier.” (134:13). But speculation cannot substitute for proof: </w:t>
      </w:r>
      <w:r>
        <w:rPr>
          <w:bCs/>
          <w:i/>
        </w:rPr>
        <w:t>Sullivan</w:t>
      </w:r>
      <w:r>
        <w:rPr>
          <w:bCs/>
        </w:rPr>
        <w:t xml:space="preserve"> requires the State to establish by a preponderance that the defendant committed the other acts. 216 Wis. 2d at 772-73. The circuit court ruled globally without engaging this problem, even though the greater latitude rule “does not relieve a court of the duty to ensure that the other-acts evidence is admissible under the proper legal standards.” </w:t>
      </w:r>
      <w:r>
        <w:rPr>
          <w:bCs/>
          <w:i/>
        </w:rPr>
        <w:t>Normington</w:t>
      </w:r>
      <w:r>
        <w:rPr>
          <w:bCs/>
        </w:rPr>
        <w:t>, 2008 WI App 8, ¶19, 306 Wis. 2d 727.</w:t>
      </w:r>
    </w:p>
    <w:p w14:paraId="382B0925" w14:textId="77777777" w:rsidR="00ED16E0" w:rsidRPr="002F035C" w:rsidRDefault="00000000" w:rsidP="002F035C">
      <w:pPr>
        <w:spacing w:before="240" w:after="240"/>
        <w:ind w:firstLine="720"/>
        <w:rPr>
          <w:bCs/>
        </w:rPr>
      </w:pPr>
      <w:r>
        <w:rPr>
          <w:bCs/>
        </w:rPr>
        <w:lastRenderedPageBreak/>
        <w:t xml:space="preserve">The evidence also fails the motive standard substantively. In </w:t>
      </w:r>
      <w:r>
        <w:rPr>
          <w:bCs/>
          <w:i/>
        </w:rPr>
        <w:t>State v. Normington</w:t>
      </w:r>
      <w:r>
        <w:rPr>
          <w:bCs/>
        </w:rPr>
        <w:t xml:space="preserve">, pornography from the defendant’s computer was admissible as motive evidence because the material depicted conduct of the same specific type as the charged offense, evidencing a particularized interest that plausibly induced the charged act. 2008 WI App 8, ¶¶24-26, 306 Wis. 2d 727. Here, there is no such correspondence between the pornography and the charged conduct. Without a behavioral signature analogous to that in </w:t>
      </w:r>
      <w:r>
        <w:rPr>
          <w:bCs/>
          <w:i/>
        </w:rPr>
        <w:t>Normington</w:t>
      </w:r>
      <w:r>
        <w:rPr>
          <w:bCs/>
        </w:rPr>
        <w:t xml:space="preserve">, the evidence establishes only a general sexual interest in children, precisely the propensity inference § 904.04(2) forbids. </w:t>
      </w:r>
      <w:r>
        <w:rPr>
          <w:bCs/>
          <w:i/>
        </w:rPr>
        <w:t>Cofield</w:t>
      </w:r>
      <w:r>
        <w:rPr>
          <w:bCs/>
        </w:rPr>
        <w:t xml:space="preserve"> requires “some link” between the other act and the charged offense, not merely a link to a general category of conduct. 238 Wis. 2d 467, ¶12. The State’s theory—that possessing child pornography demonstrates a sexual interest in children, which in turn shows motive to commit sexual assault—equates viewing media with committing assault. It is propensity evidence masquerading as motive. The procedural contrast with</w:t>
      </w:r>
      <w:r>
        <w:rPr>
          <w:bCs/>
          <w:i/>
        </w:rPr>
        <w:t>Normington</w:t>
      </w:r>
      <w:r>
        <w:rPr>
          <w:bCs/>
        </w:rPr>
        <w:t xml:space="preserve"> reinforces the error: the circuit court there reviewed each admissible category of images, limited how many could be shown to the jury, and only then permitted testimony about the total number on the computer. 2008 WI App 8, ¶9. Here, the court reviewed no images before the State presented testimony of “over 100 </w:t>
      </w:r>
      <w:r>
        <w:rPr>
          <w:bCs/>
        </w:rPr>
        <w:lastRenderedPageBreak/>
        <w:t>unique images” directly to the jury. (139:244). That quantitative weight arrived without any judicial gatekeeping of content or category.</w:t>
      </w:r>
    </w:p>
    <w:p w14:paraId="660AA662" w14:textId="77777777" w:rsidR="00ED16E0" w:rsidRDefault="00000000">
      <w:pPr>
        <w:pStyle w:val="Heading5"/>
        <w:numPr>
          <w:ilvl w:val="4"/>
          <w:numId w:val="6"/>
        </w:numPr>
      </w:pPr>
      <w:r>
        <w:t>Intent and absence of mistake are not at issue in this case.</w:t>
      </w:r>
    </w:p>
    <w:p w14:paraId="419DE48E" w14:textId="772F8CA5" w:rsidR="00ED16E0" w:rsidRDefault="00000000">
      <w:pPr>
        <w:spacing w:before="240" w:after="240"/>
        <w:ind w:firstLine="720"/>
      </w:pPr>
      <w:r>
        <w:t xml:space="preserve">The circuit court also admitted the evidence for intent and absence of mistake, but neither is genuinely disputed. Mr. Christopherson denied the alleged acts occurred; he did not claim any contact was accidental or unintentional. Other-acts evidence for intent or accident is permissible only when intent is genuinely disputed. </w:t>
      </w:r>
      <w:r>
        <w:rPr>
          <w:i/>
          <w:iCs/>
        </w:rPr>
        <w:t xml:space="preserve">Sullivan </w:t>
      </w:r>
      <w:r>
        <w:t xml:space="preserve">illustrated this with Wigmore's hunter hypothetical: where a hunter claims he accidentally shot his companion, evidence of prior shootings at the same person disproves accident. 216 Wis. 2d at 784-85 (citing 2 Wigmore, Evidence § 302, at 241 (Chadbourn rev. 1979)).  </w:t>
      </w:r>
      <w:r>
        <w:rPr>
          <w:i/>
          <w:iCs/>
        </w:rPr>
        <w:t>See also</w:t>
      </w:r>
      <w:r>
        <w:t xml:space="preserve"> </w:t>
      </w:r>
      <w:r>
        <w:rPr>
          <w:i/>
          <w:iCs/>
        </w:rPr>
        <w:t>State v. Barreau</w:t>
      </w:r>
      <w:r>
        <w:t>, 2002 WI App 198, ¶40, 257 Wis. 2d 203, 651 N.W.2d 12 (“if the other acts evidence is probative of nothing more than the defendant’s propensity to act in a certain way, the evidence is not admissible”</w:t>
      </w:r>
      <w:r w:rsidR="00074B7E">
        <w:t xml:space="preserve"> (citations omitted)).</w:t>
      </w:r>
    </w:p>
    <w:p w14:paraId="6155E517" w14:textId="77777777" w:rsidR="00ED16E0" w:rsidRDefault="00000000">
      <w:pPr>
        <w:spacing w:before="240" w:after="240"/>
        <w:ind w:firstLine="720"/>
      </w:pPr>
      <w:r>
        <w:t>Here, there is no accident defense. Mr. Christopherson’s position is categorical denial, a question the other-acts evidence cannot answer without inviting the forbidden propensity inference.</w:t>
      </w:r>
    </w:p>
    <w:p w14:paraId="37428477" w14:textId="77777777" w:rsidR="00ED16E0" w:rsidRDefault="00000000">
      <w:pPr>
        <w:pStyle w:val="Heading4"/>
        <w:numPr>
          <w:ilvl w:val="3"/>
          <w:numId w:val="6"/>
        </w:numPr>
      </w:pPr>
      <w:r>
        <w:lastRenderedPageBreak/>
        <w:t>The Probative Value Was Substantially Outweighed by Unfair Prejudice.</w:t>
      </w:r>
    </w:p>
    <w:p w14:paraId="0DE08C4B" w14:textId="77777777" w:rsidR="00ED16E0" w:rsidRDefault="00000000">
      <w:pPr>
        <w:spacing w:before="240" w:after="240"/>
        <w:ind w:firstLine="720"/>
      </w:pPr>
      <w:r>
        <w:t>Even if the other-acts evidence had some minimal probative value, that value is substantially outweighed by the danger of unfair prejudice under Wis. Stat. § 904.03.</w:t>
      </w:r>
    </w:p>
    <w:p w14:paraId="7A72E286" w14:textId="77777777" w:rsidR="00ED16E0" w:rsidRDefault="00000000">
      <w:pPr>
        <w:spacing w:before="240" w:after="240"/>
        <w:ind w:firstLine="720"/>
      </w:pPr>
      <w:r>
        <w:t xml:space="preserve">The dangers underlying other-acts evidence are well-established. </w:t>
      </w:r>
      <w:r>
        <w:rPr>
          <w:i/>
          <w:iCs/>
        </w:rPr>
        <w:t>Whitty v. State</w:t>
      </w:r>
      <w:r>
        <w:t xml:space="preserve"> identified four dangers of other-acts evidence, including the propensity inference and condemnation for uncharged conduct, all present here. 34 Wis. 2d 278, 292, 149 N.W.2d 557 (1967). The child pornography evidence created an overwhelming propensity inference: that because Mr. Christopherson allegedly possessed such materials in 2019, he must have committed the acts alleged in 2017. As </w:t>
      </w:r>
      <w:r>
        <w:rPr>
          <w:i/>
          <w:iCs/>
        </w:rPr>
        <w:t>Sullivan</w:t>
      </w:r>
      <w:r>
        <w:t xml:space="preserve"> explains, this inference is especially dangerous in sexual assault cases because "jurors would be so influenced by other-acts evidence that they would be likely to convict defendant because other-acts evidence showed him to be a bad man." 216 Wis. 2d at 794.</w:t>
      </w:r>
    </w:p>
    <w:p w14:paraId="2469213F" w14:textId="77777777" w:rsidR="00ED16E0" w:rsidRDefault="00000000">
      <w:pPr>
        <w:spacing w:before="240" w:after="240"/>
        <w:ind w:firstLine="720"/>
      </w:pPr>
      <w:r>
        <w:t xml:space="preserve">Moreover, the blanket admission of the other-acts created substantial risk of jury confusion. The State devoted significant trial time to establishing Mr. Christopherson’s possession of child pornography and other allegedly sexually-oriented materials. Despite </w:t>
      </w:r>
      <w:r>
        <w:lastRenderedPageBreak/>
        <w:t>the permissible purpose of aiding in assessing JV1’s credibility, the other-acts evidence diverted from it.</w:t>
      </w:r>
    </w:p>
    <w:p w14:paraId="702D3D62" w14:textId="77777777" w:rsidR="00ED16E0" w:rsidRDefault="00000000">
      <w:pPr>
        <w:spacing w:before="240" w:after="240"/>
        <w:ind w:firstLine="720"/>
      </w:pPr>
      <w:r>
        <w:t>The circuit court's cautionary instruction did not cure the unfair prejudice.  It was too broad by authorizing the jury to consider the other-acts evidence for motive, intent, and credibility despite the fact that intent was not genuinely disputed and the "credibility" purpose invited the forbidden propensity inference.</w:t>
      </w:r>
    </w:p>
    <w:p w14:paraId="1298CE18" w14:textId="77777777" w:rsidR="00ED16E0" w:rsidRDefault="00000000">
      <w:pPr>
        <w:spacing w:before="240" w:after="240"/>
        <w:ind w:firstLine="720"/>
      </w:pPr>
      <w:r>
        <w:t xml:space="preserve">The instruction's inadequacy was compounded by the prosecutor's extensive references in argument.   The Wisconsin Supreme Court has emphasized that probative value is substantially outweighed by unfair prejudice when the "prosecutor referred to the other-acts evidence extensively in both the opening and closing statements and urged the jury to consider what the evidence revealed about the defendant's character." </w:t>
      </w:r>
      <w:r>
        <w:rPr>
          <w:i/>
          <w:iCs/>
        </w:rPr>
        <w:t>Sullivan</w:t>
      </w:r>
      <w:r>
        <w:t xml:space="preserve">, 216 Wis. 2d at 791-92; </w:t>
      </w:r>
      <w:r>
        <w:rPr>
          <w:i/>
          <w:iCs/>
        </w:rPr>
        <w:t>see also State v. Payano</w:t>
      </w:r>
      <w:r>
        <w:t>, 2009 WI 86, ¶101, 320 Wis. 2d 348, 768 N.W.2d 832 ("counsel may only argue the evidence for its proper purpose, as delimited by the trial judge's ruling").</w:t>
      </w:r>
    </w:p>
    <w:p w14:paraId="0B271B01" w14:textId="77777777" w:rsidR="00ED16E0" w:rsidRDefault="00000000">
      <w:pPr>
        <w:spacing w:before="240" w:after="240"/>
        <w:ind w:firstLine="720"/>
      </w:pPr>
      <w:r>
        <w:t xml:space="preserve">In opening, the prosecutor stated “[t]he other thing that I must prove is that the defendant in fact did have sexual intercourse with [JV1]” prior to immediately jumping into commentary regarding the </w:t>
      </w:r>
      <w:r>
        <w:lastRenderedPageBreak/>
        <w:t>need to show volition by telling the jury "you may consider this evidence to see if the defendant does in fact have a sexual interest in children." (138:144-147). In closing, the prosecutor acknowledged the limitation</w:t>
      </w:r>
      <w:r>
        <w:rPr>
          <w:b/>
        </w:rPr>
        <w:t xml:space="preserve"> </w:t>
      </w:r>
      <w:r>
        <w:rPr>
          <w:bCs/>
        </w:rPr>
        <w:t>(</w:t>
      </w:r>
      <w:r>
        <w:t>"You can't find him guilty of sexually assaulting a child just because he might have had child pornography"</w:t>
      </w:r>
      <w:r>
        <w:rPr>
          <w:bCs/>
        </w:rPr>
        <w:t>)</w:t>
      </w:r>
      <w:r>
        <w:t xml:space="preserve"> but then immediately reframed the evidence in terms of defendant's character: "what is child pornography? It is a sexual interest in children," and "the person who possessed the pornography had a sexual interest in children," before linking this characterization to motive ("If you have a sexual interest in it, then there's the motive") and credibility ("you can use it for evaluating the credibility of [JV1]"). (141:50-51).</w:t>
      </w:r>
    </w:p>
    <w:p w14:paraId="7643B640" w14:textId="77777777" w:rsidR="00ED16E0" w:rsidRDefault="00000000">
      <w:pPr>
        <w:spacing w:before="240" w:after="240"/>
        <w:ind w:firstLine="720"/>
      </w:pPr>
      <w:r>
        <w:t>Here, the prosecutor's repeated assertions that the pornography demonstrated "sexual interest in children" was a thinly veiled attempt to invite precisely the propensity inference forbidden.</w:t>
      </w:r>
    </w:p>
    <w:p w14:paraId="1EB39AA1" w14:textId="77777777" w:rsidR="00ED16E0" w:rsidRDefault="00000000">
      <w:pPr>
        <w:pStyle w:val="Heading4"/>
        <w:numPr>
          <w:ilvl w:val="3"/>
          <w:numId w:val="6"/>
        </w:numPr>
      </w:pPr>
      <w:r>
        <w:t>The Greater Latitude Rule Does Not Justify Admission of This Evidence.</w:t>
      </w:r>
    </w:p>
    <w:p w14:paraId="6B3FE32F" w14:textId="77777777" w:rsidR="00ED16E0" w:rsidRDefault="00000000">
      <w:pPr>
        <w:spacing w:before="240" w:after="240"/>
        <w:ind w:firstLine="720"/>
      </w:pPr>
      <w:r>
        <w:t>The State invoked the “greater latitude rule” (134:13), but</w:t>
      </w:r>
      <w:r>
        <w:rPr>
          <w:b/>
          <w:bCs/>
        </w:rPr>
        <w:t xml:space="preserve"> </w:t>
      </w:r>
      <w:r>
        <w:t>it does not override §§ 904.03 and 904.04. As the Wisconsin Supreme Court explained in</w:t>
      </w:r>
      <w:r>
        <w:rPr>
          <w:i/>
          <w:iCs/>
        </w:rPr>
        <w:t xml:space="preserve"> State v. Hammer</w:t>
      </w:r>
      <w:r>
        <w:t xml:space="preserve">, 2000 WI 92, ¶22, 236 Wis. 2d 686, 613 N.W.2d 629, the greater latitude rule “is not so much </w:t>
      </w:r>
      <w:r>
        <w:lastRenderedPageBreak/>
        <w:t>a matter of relaxing the general rule that it is not competent in a prosecution for one crime to introduce evidence of other offenses as it is a matter of placing testimony concerning other-acts or incidents within one of the well-established exceptions to such rule.”</w:t>
      </w:r>
    </w:p>
    <w:p w14:paraId="0CFB73F8" w14:textId="77777777" w:rsidR="00ED16E0" w:rsidRDefault="00000000">
      <w:pPr>
        <w:spacing w:before="240" w:after="240"/>
        <w:ind w:firstLine="720"/>
      </w:pPr>
      <w:r>
        <w:t>The greater latitude rule does not eliminate the requirement that other-acts evidence must be relevant and probative of a permissible purpose. It does not authorize wholesale admission of prejudicial sexual evidence simply because the charged offense involves a child victim.</w:t>
      </w:r>
    </w:p>
    <w:p w14:paraId="259CA82B" w14:textId="77777777" w:rsidR="00ED16E0" w:rsidRDefault="00000000">
      <w:pPr>
        <w:spacing w:before="240" w:after="240"/>
        <w:ind w:firstLine="720"/>
      </w:pPr>
      <w:r>
        <w:t xml:space="preserve">The circuit court’s blanket admission of 28 other-acts without item-specific analysis falls far short of the review required even under the greater latitude rule, magnifying the dangers </w:t>
      </w:r>
      <w:r>
        <w:rPr>
          <w:i/>
          <w:iCs/>
        </w:rPr>
        <w:t>Whitty</w:t>
      </w:r>
      <w:r>
        <w:t>–identified.</w:t>
      </w:r>
    </w:p>
    <w:p w14:paraId="05EC4082" w14:textId="77777777" w:rsidR="00151478" w:rsidRDefault="00000000" w:rsidP="008F2724">
      <w:pPr>
        <w:pStyle w:val="Heading4"/>
        <w:numPr>
          <w:ilvl w:val="3"/>
          <w:numId w:val="6"/>
        </w:numPr>
        <w:spacing w:after="240"/>
        <w:rPr>
          <w:bCs/>
        </w:rPr>
      </w:pPr>
      <w:r>
        <w:rPr>
          <w:bCs/>
        </w:rPr>
        <w:t>The State's Refusal to Request Immunity Foreclosed the Attribution Defense the Court's Ruling Contemplated.</w:t>
      </w:r>
    </w:p>
    <w:p w14:paraId="53736842" w14:textId="77777777" w:rsidR="00C66C01" w:rsidRPr="00151478" w:rsidRDefault="00000000" w:rsidP="00151478">
      <w:pPr>
        <w:ind w:firstLine="720"/>
        <w:rPr>
          <w:bCs/>
        </w:rPr>
      </w:pPr>
      <w:r>
        <w:rPr>
          <w:bCs/>
        </w:rPr>
        <w:t xml:space="preserve">The circuit court’s other-acts ruling rested on a specific premise: the defense could challenge attribution of the digital evidence before the jury. The court declined a separate evidentiary hearing on that basis, telling counsel it could "raise the arguments that have been raised here with the jury." (134:47-48). That premise was never realized. When the defense </w:t>
      </w:r>
      <w:r>
        <w:rPr>
          <w:bCs/>
        </w:rPr>
        <w:lastRenderedPageBreak/>
        <w:t>called Dylan Wilson to challenge attribution, Dylan invoked his Fifth Amendment privilege as to device access and related topics. (140:88, 91). The court found the invocation valid. (140:92). The State then refused to request immunity, with the prosecutor acknowledging the consequence directly: "if the State does not … ask the Court to extend immunity to the witness, then it’s done, it’s over, in essence he can’t testify about those topics." (140:87). The adversarial testing on which the circuit court premised admission never occurred. The State secured the benefit of highly prejudicial other-acts evidence while eliminating the defense mechanism the court said would be available.</w:t>
      </w:r>
    </w:p>
    <w:p w14:paraId="0D738C30" w14:textId="77777777" w:rsidR="00151478" w:rsidRPr="008F2724" w:rsidRDefault="00000000">
      <w:pPr>
        <w:rPr>
          <w:bCs/>
        </w:rPr>
      </w:pPr>
      <w:r>
        <w:rPr>
          <w:bCs/>
        </w:rPr>
        <w:t>This is not a general challenge to the State’s exclusive power to request immunity.</w:t>
      </w:r>
      <w:r>
        <w:rPr>
          <w:rStyle w:val="FootnoteReference"/>
          <w:bCs/>
          <w:vertAlign w:val="superscript"/>
        </w:rPr>
        <w:footnoteReference w:id="2"/>
      </w:r>
      <w:r>
        <w:rPr>
          <w:bCs/>
        </w:rPr>
        <w:t xml:space="preserve"> The argument is narrower: when a court admits highly prejudicial evidence specifically on the premise that the defense may test a disputed factual predicate at trial, and the </w:t>
      </w:r>
      <w:r>
        <w:rPr>
          <w:bCs/>
        </w:rPr>
        <w:lastRenderedPageBreak/>
        <w:t xml:space="preserve">State then forecloses that testing, the proceeding is not fundamentally fair. </w:t>
      </w:r>
      <w:r>
        <w:rPr>
          <w:bCs/>
          <w:i/>
        </w:rPr>
        <w:t>State v. Petty</w:t>
      </w:r>
      <w:r>
        <w:rPr>
          <w:bCs/>
        </w:rPr>
        <w:t xml:space="preserve"> grounds this concern in the doctrine of judicial estoppel, which “is intended to protect the judiciary as an institution from the perversion of judicial machinery.” 201 Wis. 2d 337, 346, 548 N.W.2d 817 (1996).</w:t>
      </w:r>
    </w:p>
    <w:p w14:paraId="24D5C99B" w14:textId="77777777" w:rsidR="00C66C01" w:rsidRPr="008F2724" w:rsidRDefault="00000000" w:rsidP="00151478">
      <w:pPr>
        <w:ind w:firstLine="720"/>
        <w:rPr>
          <w:bCs/>
        </w:rPr>
      </w:pPr>
      <w:r>
        <w:rPr>
          <w:bCs/>
        </w:rPr>
        <w:t xml:space="preserve">Under </w:t>
      </w:r>
      <w:r>
        <w:rPr>
          <w:bCs/>
          <w:i/>
        </w:rPr>
        <w:t>Petty</w:t>
      </w:r>
      <w:r>
        <w:rPr>
          <w:bCs/>
        </w:rPr>
        <w:t xml:space="preserve">, estoppel applies when: (1) a party’s later position is “clearly inconsistent” with its earlier position; (2) the party succeeded in maintaining that earlier position before the court; and (3) the same facts are at issue in both proceedings. </w:t>
      </w:r>
      <w:r>
        <w:rPr>
          <w:bCs/>
          <w:i/>
        </w:rPr>
        <w:t>Id.</w:t>
      </w:r>
      <w:r>
        <w:rPr>
          <w:bCs/>
        </w:rPr>
        <w:t xml:space="preserve"> at 348. All three elements are met. The State secured admission representing attribution could be tested at trial, the circuit court relied on that representation in declining an evidentiary hearing, and the identical predicate facts are at issue now. The State “cannot turn around and repudiate it in order to have a second victory.” </w:t>
      </w:r>
      <w:r>
        <w:rPr>
          <w:bCs/>
          <w:i/>
        </w:rPr>
        <w:t>Id.</w:t>
      </w:r>
      <w:r>
        <w:rPr>
          <w:bCs/>
        </w:rPr>
        <w:t xml:space="preserve"> at 350 n.6; see also </w:t>
      </w:r>
      <w:r>
        <w:rPr>
          <w:bCs/>
          <w:i/>
        </w:rPr>
        <w:t>State v. Johnson</w:t>
      </w:r>
      <w:r>
        <w:rPr>
          <w:bCs/>
        </w:rPr>
        <w:t>, 2001 WI App 105, ¶10, 244 Wis. 2d 164, 628 N.W.2d 431.</w:t>
      </w:r>
    </w:p>
    <w:p w14:paraId="38A413AE" w14:textId="77777777" w:rsidR="00ED16E0" w:rsidRDefault="00000000">
      <w:pPr>
        <w:pStyle w:val="Heading3"/>
        <w:numPr>
          <w:ilvl w:val="2"/>
          <w:numId w:val="5"/>
        </w:numPr>
      </w:pPr>
      <w:bookmarkStart w:id="5" w:name="_heading=h.wv8rv4rtwor8" w:colFirst="0" w:colLast="0"/>
      <w:bookmarkEnd w:id="5"/>
      <w:r>
        <w:t>The Error Was Not Harmless.</w:t>
      </w:r>
    </w:p>
    <w:p w14:paraId="0993C1EC" w14:textId="77777777" w:rsidR="00ED16E0" w:rsidRPr="000E3ACC" w:rsidRDefault="00000000">
      <w:pPr>
        <w:spacing w:before="240" w:after="240"/>
        <w:ind w:firstLine="720"/>
        <w:rPr>
          <w:bCs/>
        </w:rPr>
      </w:pPr>
      <w:r w:rsidRPr="000E3ACC">
        <w:rPr>
          <w:bCs/>
        </w:rPr>
        <w:t xml:space="preserve">The errors described above were not harmless. This case was not referred </w:t>
      </w:r>
      <w:proofErr w:type="gramStart"/>
      <w:r w:rsidRPr="000E3ACC">
        <w:rPr>
          <w:bCs/>
        </w:rPr>
        <w:t>for</w:t>
      </w:r>
      <w:proofErr w:type="gramEnd"/>
      <w:r w:rsidRPr="000E3ACC">
        <w:rPr>
          <w:bCs/>
        </w:rPr>
        <w:t xml:space="preserve"> prosecution without the other-acts evidence. Other than these acts, the State’s case rested on JV1’s testimony, which was contradicted by multiple witnesses. As the prosecutor acknowledged, “this case boils down to whom the jury </w:t>
      </w:r>
      <w:r w:rsidRPr="000E3ACC">
        <w:rPr>
          <w:bCs/>
        </w:rPr>
        <w:lastRenderedPageBreak/>
        <w:t>believes.” (138:9). The other-acts evidence, particularly the highly prejudicial child pornography, was central to the State’s strategy to overcome credibility concerns about JV1’s testimony.</w:t>
      </w:r>
    </w:p>
    <w:p w14:paraId="048327B2" w14:textId="77777777" w:rsidR="00ED16E0" w:rsidRDefault="00000000">
      <w:pPr>
        <w:spacing w:before="240" w:after="240"/>
        <w:ind w:firstLine="720"/>
      </w:pPr>
      <w:r>
        <w:t>Without the other-acts evidence, the jury would have evaluated JV1’s testimony on its own terms. The other-acts evidence improperly tipped the scales by suggesting Mr. Christopherson was the type of person who would commit such acts.</w:t>
      </w:r>
    </w:p>
    <w:p w14:paraId="36968A8B" w14:textId="77777777" w:rsidR="00ED16E0" w:rsidRDefault="00000000">
      <w:pPr>
        <w:spacing w:before="240" w:after="240"/>
        <w:ind w:firstLine="720"/>
        <w:rPr>
          <w:b/>
          <w:bCs/>
        </w:rPr>
      </w:pPr>
      <w:r>
        <w:t xml:space="preserve">As the Wisconsin Supreme Court held in </w:t>
      </w:r>
      <w:r>
        <w:rPr>
          <w:i/>
          <w:iCs/>
        </w:rPr>
        <w:t>Sullivan</w:t>
      </w:r>
      <w:r>
        <w:t>, when other-acts evidence is erroneously admitted and plays a central role in the prosecution’s case, reversal is required. 216 Wis. 2d at 794-95. This is such a case.</w:t>
      </w:r>
    </w:p>
    <w:p w14:paraId="484DB6C9" w14:textId="77777777" w:rsidR="00ED16E0" w:rsidRDefault="00D271B5">
      <w:pPr>
        <w:pStyle w:val="Heading2"/>
        <w:numPr>
          <w:ilvl w:val="1"/>
          <w:numId w:val="4"/>
        </w:numPr>
      </w:pPr>
      <w:r>
        <w:t>THE CIRCUIT COURT ERRED IN ADMITTING CHRISTOPHERSON'S PRIOR CONVICTIONS UNDER WIS. STAT. § 906.09(2).</w:t>
      </w:r>
    </w:p>
    <w:p w14:paraId="686A1103" w14:textId="77777777" w:rsidR="00ED16E0" w:rsidRDefault="00000000">
      <w:pPr>
        <w:spacing w:before="240" w:after="240"/>
        <w:ind w:firstLine="720"/>
      </w:pPr>
      <w:r>
        <w:t xml:space="preserve">Wisconsin Stat. § 906.09(2) provides that evidence of prior convictions "may be excluded if its probative value is substantially outweighed by the danger of unfair prejudice." Circuit courts must consider: (a) the lapse of time since conviction; (b) rehabilitation; (c) the gravity of the crime; (d) involvement of dishonesty or false statement; (e) </w:t>
      </w:r>
      <w:r>
        <w:lastRenderedPageBreak/>
        <w:t xml:space="preserve">frequency of convictions; and (f) any other relevant factors. Wis. Stat. § 906.09(2)(a)–(f). Courts should "explicitly set forth their reasoning" to demonstrate they considered the applicable factors. </w:t>
      </w:r>
      <w:r>
        <w:rPr>
          <w:i/>
          <w:iCs/>
        </w:rPr>
        <w:t>State v. Gary M.B.</w:t>
      </w:r>
      <w:r>
        <w:t>, 2004 WI 33, ¶35, 270 Wis. 2d 62, 676 N.W.2d 475.</w:t>
      </w:r>
    </w:p>
    <w:p w14:paraId="481B91AE" w14:textId="77777777" w:rsidR="00ED16E0" w:rsidRDefault="00000000">
      <w:pPr>
        <w:spacing w:before="240" w:after="240"/>
        <w:ind w:firstLine="720"/>
      </w:pPr>
      <w:r>
        <w:t xml:space="preserve">Although Wisconsin has no automatic ten-year cutoff, "practical considerations of fairness and relevancy demand that some boundary be recognized." Judicial Council Committee's Note to § 906.09. </w:t>
      </w:r>
    </w:p>
    <w:p w14:paraId="64B0A822" w14:textId="77777777" w:rsidR="00ED16E0" w:rsidRDefault="00000000">
      <w:pPr>
        <w:pStyle w:val="Heading3"/>
        <w:numPr>
          <w:ilvl w:val="2"/>
          <w:numId w:val="2"/>
        </w:numPr>
      </w:pPr>
      <w:r>
        <w:t>The pretrial ruling.</w:t>
      </w:r>
    </w:p>
    <w:p w14:paraId="682F1E14" w14:textId="77777777" w:rsidR="00ED16E0" w:rsidRDefault="00000000">
      <w:pPr>
        <w:spacing w:before="240" w:after="240"/>
        <w:ind w:firstLine="720"/>
      </w:pPr>
      <w:r>
        <w:t>At the June 12, 2023 motion hearing, defense counsel objected to the State's request that all six of Christopherson's prior convictions be admitted. (71:92–97). The convictions were: disorderly conduct (2022); resisting/obstructing (2009); and four 1996 Sauk County convictions for felony bail jumping, burglary, and two counts of forgery-uttering. (39:8).</w:t>
      </w:r>
    </w:p>
    <w:p w14:paraId="72A1DD86" w14:textId="77777777" w:rsidR="00ED16E0" w:rsidRDefault="00000000">
      <w:pPr>
        <w:spacing w:before="240" w:after="240"/>
        <w:ind w:firstLine="720"/>
      </w:pPr>
      <w:r>
        <w:t xml:space="preserve">Defense counsel argued the five older convictions were "extremely dated[,]" the 1996 offenses being "significantly over 20 years ago." Counsel urged the court to recognize, as the federal rules do, that convictions beyond ten years have minimal probative value. (71:93). Counsel emphasized rehabilitation: from 1996 to 2009, "a period of over 13 </w:t>
      </w:r>
      <w:r>
        <w:lastRenderedPageBreak/>
        <w:t>years . . . there were no new violations and certainly no violations that were similar in nature." (71:95). Counsel noted the 1996 forgery and burglary convictions bore no relationship to sexual assault charges and that "[h]e's clearly been rehabilitated of those as we do not see any more burglaries, forgeries or financial crimes of any kind." (71:95).</w:t>
      </w:r>
    </w:p>
    <w:p w14:paraId="46BC4BF9" w14:textId="77777777" w:rsidR="00ED16E0" w:rsidRDefault="00000000">
      <w:pPr>
        <w:spacing w:before="240" w:after="240"/>
        <w:ind w:firstLine="720"/>
      </w:pPr>
      <w:r>
        <w:t xml:space="preserve">The circuit court acknowledged "a lapse of time between some of these convictions" but ruled all six admissible using propensity reasoning stating the older crimes, though "different in nature," "certainly touch[] on some of the issues that we're going to deal with in the present crime." (71:96).  </w:t>
      </w:r>
    </w:p>
    <w:p w14:paraId="40BB77AF" w14:textId="77777777" w:rsidR="00ED16E0" w:rsidRDefault="00000000">
      <w:pPr>
        <w:spacing w:before="240" w:after="240"/>
        <w:ind w:firstLine="720"/>
      </w:pPr>
      <w:r>
        <w:t>The circuit court's analysis inadequate. The court's ruling failed to properly apply § 906.09(2). Although acknowledging the time lapse, the court did not meaningfully weigh the extraordinary remoteness of the 1995–96 convictions. Nor did the court explain how property crimes and bail jumping from 1996 "touched on" sexual assault charges occurring almost thirty years later.</w:t>
      </w:r>
    </w:p>
    <w:p w14:paraId="72EB4173" w14:textId="77777777" w:rsidR="00ED16E0" w:rsidRDefault="00000000">
      <w:pPr>
        <w:spacing w:before="240" w:after="240"/>
        <w:ind w:firstLine="720"/>
      </w:pPr>
      <w:r>
        <w:t xml:space="preserve">The court's treatment of rehabilitation was likewise deficient. In </w:t>
      </w:r>
      <w:r>
        <w:rPr>
          <w:i/>
          <w:iCs/>
        </w:rPr>
        <w:t>State v. Kruzycki</w:t>
      </w:r>
      <w:r>
        <w:t xml:space="preserve">, 192 Wis. 2d 509, 525–26, 531 N.W.2d 429 (Ct. App. 1995), the court found no abuse of discretion in admitting twelve-year-old convictions because the defendant "had been </w:t>
      </w:r>
      <w:r>
        <w:lastRenderedPageBreak/>
        <w:t>confined for lengthy periods and had "not been around to reform.'" Christopherson's circumstances are the opposite: a cluster of 1995–96 convictions, a thirteen-year crime-free gap, a single 2009 misdemeanor, another thirteen-year gap, and a 2022 misdemeanor. This pattern demonstrates rehabilitation that should diminish probative value.</w:t>
      </w:r>
    </w:p>
    <w:p w14:paraId="463AC08E" w14:textId="77777777" w:rsidR="00ED16E0" w:rsidRDefault="00000000">
      <w:pPr>
        <w:spacing w:before="240" w:after="240"/>
        <w:ind w:firstLine="720"/>
      </w:pPr>
      <w:r>
        <w:t xml:space="preserve">Significantly, Christopherson's prior convictions do not categorically involve dishonesty or false statement within § 906.09(2)(d)'s meaning. The State argued burglary involves being "dishonest in actions." (71:94). But this conflates general criminal conduct with the specific statutory inquiry. Section 906.09(2)(d) recognizes that convictions involving </w:t>
      </w:r>
      <w:r>
        <w:rPr>
          <w:i/>
          <w:iCs/>
        </w:rPr>
        <w:t>lying or deception</w:t>
      </w:r>
      <w:r>
        <w:t xml:space="preserve"> carry greater probative weight for credibility purposes. Burglary, bail jumping, resisting, and disorderly conduct do not involve false statements, and even the forgery convictions, nearly three decades old, had lost whatever enhanced probative value crimes of dishonesty might otherwise possess.</w:t>
      </w:r>
    </w:p>
    <w:p w14:paraId="56F9D117" w14:textId="77777777" w:rsidR="00ED16E0" w:rsidRDefault="00000000">
      <w:pPr>
        <w:pStyle w:val="Heading3"/>
        <w:numPr>
          <w:ilvl w:val="2"/>
          <w:numId w:val="2"/>
        </w:numPr>
      </w:pPr>
      <w:bookmarkStart w:id="6" w:name="_heading=h.33w1ampitsm6" w:colFirst="0" w:colLast="0"/>
      <w:bookmarkEnd w:id="6"/>
      <w:r>
        <w:t>The 1995–96 convictions were inadmissible, and the error was prejudicial.</w:t>
      </w:r>
    </w:p>
    <w:p w14:paraId="48D74076" w14:textId="032A4637" w:rsidR="00ED16E0" w:rsidRDefault="00000000">
      <w:pPr>
        <w:spacing w:before="240" w:after="240"/>
        <w:ind w:firstLine="720"/>
      </w:pPr>
      <w:r>
        <w:t xml:space="preserve">Following the adverse ruling, defense counsel “took out the sting” by preemptively eliciting the convictions, a decision that does not constitute waiver. </w:t>
      </w:r>
      <w:r>
        <w:rPr>
          <w:i/>
          <w:iCs/>
        </w:rPr>
        <w:lastRenderedPageBreak/>
        <w:t>Gary M.B.</w:t>
      </w:r>
      <w:r>
        <w:t>, 2004 WI 33, ¶¶11–18, 270 Wis. 2d 62 (Rejecting “strategic waiver” in analogous scenario). In doing so, Christopherson testified to six convictions: four in 1995–96, one in 2009, and one in 2022, none involving sexual assault or children. (140:231–32). The prosecutor exploited the convictions in closing, arguing Christopherson "has committed crimes since the mid-90s all the way through present" and has "suspect credibility." (141:27–28).</w:t>
      </w:r>
    </w:p>
    <w:p w14:paraId="04D0D84C" w14:textId="77777777" w:rsidR="00ED16E0" w:rsidRDefault="00000000">
      <w:pPr>
        <w:spacing w:before="240" w:after="240"/>
        <w:ind w:firstLine="720"/>
      </w:pPr>
      <w:r>
        <w:t>In this context, the error was not harmless. The 1995–96 convictions were, in fact, inadmissible. At nearly thirty years old and contradicted by clear evidence of rehabilitation, these convictions" probative value was "substantially outweighed by the danger of unfair prejudice." Wis. Stat. § 906.09(2).</w:t>
      </w:r>
    </w:p>
    <w:p w14:paraId="5B067E86" w14:textId="0F16ED00" w:rsidR="00ED16E0" w:rsidRPr="00D271B5" w:rsidRDefault="00000000" w:rsidP="00D271B5">
      <w:pPr>
        <w:spacing w:before="240" w:after="240"/>
        <w:ind w:firstLine="720"/>
      </w:pPr>
      <w:r>
        <w:t xml:space="preserve">Courts recognize that prior conviction evidence "may result in casting such an atmosphere of aspersion and disrepute about the defendant as to convince the jury that he is an habitual lawbreaker who should be punished and confined for the general good of the community." </w:t>
      </w:r>
      <w:r>
        <w:rPr>
          <w:i/>
          <w:iCs/>
        </w:rPr>
        <w:t>State v. Kuntz</w:t>
      </w:r>
      <w:r>
        <w:t xml:space="preserve">, 160 Wis. 2d 722, 752–53, 467 N.W.2d 531 (1991). In a case resting on a single uncorroborated witness, six convictions spanning three decades created precisely this prejudicial atmosphere. This error, like the other-acts </w:t>
      </w:r>
      <w:r>
        <w:lastRenderedPageBreak/>
        <w:t>error, independently warrants reversal and a new trial.</w:t>
      </w:r>
    </w:p>
    <w:p w14:paraId="2330CD3F" w14:textId="77777777" w:rsidR="00ED16E0" w:rsidRDefault="00000000">
      <w:pPr>
        <w:pStyle w:val="Heading2"/>
        <w:numPr>
          <w:ilvl w:val="1"/>
          <w:numId w:val="4"/>
        </w:numPr>
      </w:pPr>
      <w:r>
        <w:t xml:space="preserve">THE CIRCUIT COURT ERRONEOUSLY EXERCISED DISCRETION UNDER WIS. STAT. § 907.02 BY ADMITTING SICKEL'S EXPERT OPINIONS WITHOUT THE RELIABILITY-AND-FIT FINDINGS REQUIRED BY DAUBERT, AND THE TESTIMONY'S USE AT TRIAL VIOLATED THE </w:t>
      </w:r>
      <w:r>
        <w:rPr>
          <w:i/>
          <w:iCs/>
        </w:rPr>
        <w:t xml:space="preserve">HASELTINE </w:t>
      </w:r>
      <w:r>
        <w:t>RULE.</w:t>
      </w:r>
    </w:p>
    <w:p w14:paraId="223EB950" w14:textId="77777777" w:rsidR="00ED16E0" w:rsidRDefault="00000000">
      <w:pPr>
        <w:spacing w:before="240" w:after="240"/>
        <w:ind w:firstLine="720"/>
        <w:rPr>
          <w:i/>
          <w:iCs/>
        </w:rPr>
      </w:pPr>
      <w:r>
        <w:t xml:space="preserve">Wisconsin Stat. § 907.02(1) requires that expert testimony be "based upon sufficient facts or data," be "the product of reliable principles and methods," and that "the witness has applied the principles and methods reliably to the facts of the case." This statute "adopts the reliability test established by </w:t>
      </w:r>
      <w:r>
        <w:rPr>
          <w:i/>
          <w:iCs/>
        </w:rPr>
        <w:t>Daubert</w:t>
      </w:r>
      <w:r>
        <w:t>."</w:t>
      </w:r>
      <w:r>
        <w:rPr>
          <w:i/>
          <w:iCs/>
        </w:rPr>
        <w:t xml:space="preserve"> Seifert v. Balink, </w:t>
      </w:r>
      <w:r>
        <w:t>2017 WI 2, ¶45, 372 Wis. 2d 525, 888 N.W.2d 816.</w:t>
      </w:r>
      <w:r>
        <w:rPr>
          <w:i/>
          <w:iCs/>
        </w:rPr>
        <w:t xml:space="preserve"> </w:t>
      </w:r>
      <w:r>
        <w:t>The court's gatekeeping role ensures "the courtroom door remains closed to junk science."</w:t>
      </w:r>
      <w:r>
        <w:rPr>
          <w:i/>
          <w:iCs/>
        </w:rPr>
        <w:t xml:space="preserve"> In re Commitment of Jones, </w:t>
      </w:r>
      <w:r>
        <w:t xml:space="preserve">2018 WI 44, ¶33, 381 Wis. 2d 284, 911 N.W.2d 97. While the trial court has discretion in how it assesses reliability, "the trial court has no discretion to abandon its role as gatekeeper." </w:t>
      </w:r>
      <w:r>
        <w:rPr>
          <w:i/>
          <w:iCs/>
        </w:rPr>
        <w:t xml:space="preserve">State v. Cameron, </w:t>
      </w:r>
      <w:r>
        <w:t xml:space="preserve">2016 WI App 54, ¶13, 370 Wis. 2d 661, 882 N.W.2d 866. When a party objects, "the court </w:t>
      </w:r>
      <w:r>
        <w:lastRenderedPageBreak/>
        <w:t xml:space="preserve">must adequately demonstrate by specific findings on the record that it has performed its duty." </w:t>
      </w:r>
      <w:r>
        <w:rPr>
          <w:i/>
          <w:iCs/>
        </w:rPr>
        <w:t>Id.</w:t>
      </w:r>
    </w:p>
    <w:p w14:paraId="5B57FA38" w14:textId="77777777" w:rsidR="00ED16E0" w:rsidRDefault="00000000">
      <w:pPr>
        <w:spacing w:before="240" w:after="240"/>
        <w:ind w:firstLine="720"/>
      </w:pPr>
      <w:r>
        <w:t xml:space="preserve">Even testimony that clears </w:t>
      </w:r>
      <w:r>
        <w:rPr>
          <w:i/>
          <w:iCs/>
        </w:rPr>
        <w:t xml:space="preserve">Daubert's </w:t>
      </w:r>
      <w:r>
        <w:t xml:space="preserve">reliability threshold remains subject to the </w:t>
      </w:r>
      <w:r>
        <w:rPr>
          <w:i/>
          <w:iCs/>
        </w:rPr>
        <w:t xml:space="preserve">Haseltine </w:t>
      </w:r>
      <w:r>
        <w:t xml:space="preserve">rule: "[N]o witness, expert or otherwise, should be permitted to give an opinion that another mentally and physically competent witness is telling the truth." </w:t>
      </w:r>
      <w:r>
        <w:rPr>
          <w:i/>
          <w:iCs/>
        </w:rPr>
        <w:t>State v. Haseltine</w:t>
      </w:r>
      <w:r>
        <w:t xml:space="preserve">, 120 Wis. 2d 92, 96, 352 N.W.2d 673 (Ct. App. 1984). As </w:t>
      </w:r>
      <w:r>
        <w:rPr>
          <w:i/>
          <w:iCs/>
        </w:rPr>
        <w:t>Haseltine</w:t>
      </w:r>
      <w:r>
        <w:t xml:space="preserve"> explained, "[t]he credibility of a witness is ordinarily something a lay juror can knowledgeably determine" because "'the jury is the lie detector in the courtroom.'" </w:t>
      </w:r>
      <w:r>
        <w:rPr>
          <w:i/>
          <w:iCs/>
        </w:rPr>
        <w:t>Id.</w:t>
      </w:r>
      <w:r>
        <w:t xml:space="preserve"> The Wisconsin Supreme Court recently reaffirmed this principle: the jury remains the "ultimate arbiter of credibility," and expert testimony "may assist" the jury but “it may not supplant" the jury's role. </w:t>
      </w:r>
      <w:r>
        <w:rPr>
          <w:i/>
          <w:iCs/>
        </w:rPr>
        <w:t xml:space="preserve">State v. Molde, </w:t>
      </w:r>
      <w:r>
        <w:t xml:space="preserve">2025 WI 21, ¶¶17-18, 416 Wis. 2d 262, 21 N.W.3d 343. The </w:t>
      </w:r>
      <w:r>
        <w:rPr>
          <w:i/>
          <w:iCs/>
        </w:rPr>
        <w:t xml:space="preserve">Haseltine </w:t>
      </w:r>
      <w:r>
        <w:t xml:space="preserve">rule is violated when the expert takes the "extra step" of applying general propositions to say, in substance, that a particular witness is truthful. </w:t>
      </w:r>
      <w:r>
        <w:rPr>
          <w:i/>
          <w:iCs/>
        </w:rPr>
        <w:t>Id.</w:t>
      </w:r>
      <w:r>
        <w:t xml:space="preserve"> ¶21.</w:t>
      </w:r>
    </w:p>
    <w:p w14:paraId="59270D1C" w14:textId="77777777" w:rsidR="00ED16E0" w:rsidRDefault="00000000">
      <w:pPr>
        <w:pStyle w:val="Heading3"/>
        <w:numPr>
          <w:ilvl w:val="2"/>
          <w:numId w:val="3"/>
        </w:numPr>
      </w:pPr>
      <w:r>
        <w:t xml:space="preserve">The Defense's </w:t>
      </w:r>
      <w:r>
        <w:rPr>
          <w:i/>
          <w:iCs/>
        </w:rPr>
        <w:t xml:space="preserve">Daubert </w:t>
      </w:r>
      <w:r>
        <w:t>Challenge and the Court's Inadequate Ruling.</w:t>
      </w:r>
    </w:p>
    <w:p w14:paraId="4A2ED20C" w14:textId="77777777" w:rsidR="00ED16E0" w:rsidRDefault="00000000">
      <w:pPr>
        <w:spacing w:before="240" w:after="240"/>
        <w:ind w:firstLine="720"/>
      </w:pPr>
      <w:r>
        <w:t xml:space="preserve">Defense counsel asked the State to establish the scientific basis for Sickel's proposed opinions, particularly regarding "coaching," including what the </w:t>
      </w:r>
      <w:r>
        <w:lastRenderedPageBreak/>
        <w:t xml:space="preserve">"signs" are, what science supports them, and "how predictive" her methodology would be. (71:5-7). This went to the heart of </w:t>
      </w:r>
      <w:r>
        <w:rPr>
          <w:i/>
          <w:iCs/>
        </w:rPr>
        <w:t>Daubert</w:t>
      </w:r>
      <w:r>
        <w:t xml:space="preserve"> gatekeeping.</w:t>
      </w:r>
    </w:p>
    <w:p w14:paraId="013CFF43" w14:textId="77777777" w:rsidR="00ED16E0" w:rsidRDefault="00000000">
      <w:pPr>
        <w:spacing w:before="240" w:after="240"/>
        <w:ind w:firstLine="720"/>
      </w:pPr>
      <w:r>
        <w:t xml:space="preserve">The court ruled that Sickel was “immensely qualified” and that her testimony was "a product of reliable principles and methods" because her techniques came from “training and experience.” (71:88-89.) This conflates qualifications with reliability. Even in </w:t>
      </w:r>
      <w:r>
        <w:rPr>
          <w:i/>
          <w:iCs/>
        </w:rPr>
        <w:t>State v. Smith</w:t>
      </w:r>
      <w:r>
        <w:t xml:space="preserve">, 2016 WI App 8, ¶9, 366 Wis. 2d 613, 874 N.W.2d 610, where the court upheld expert testimony about general behavioral patterns of child sexual assault victims, the court emphasized it had considered “other factors bearing upon the reliability of the testimony,” not just qualifications alone. Here, the circuit court made no such reliability findings. For experience-based testimony, “the witness must explain how that experience leads to the conclusion reached, why that experience is a sufficient basis for the opinion, and how that experience is reliably applied to the facts.” </w:t>
      </w:r>
      <w:r>
        <w:rPr>
          <w:i/>
          <w:iCs/>
        </w:rPr>
        <w:t>State v. Hogan</w:t>
      </w:r>
      <w:r>
        <w:t xml:space="preserve">, 2021 WI App 24, ¶25, 397 Wis. 2d 171, 959 N.W.2d 658. The court made no findings about whether Sickel's claimed ability to distinguish coached from genuine disclosures has empirical support, what the error rate might be, or whether her methodology has been validated. </w:t>
      </w:r>
      <w:r>
        <w:rPr>
          <w:i/>
          <w:iCs/>
        </w:rPr>
        <w:t>Cf. State v. Bucki</w:t>
      </w:r>
      <w:r>
        <w:t xml:space="preserve">, 2020 WI App 43, ¶52, 393 Wis. 2d 434, 946 N.W.2d 799. The defense's </w:t>
      </w:r>
      <w:r>
        <w:lastRenderedPageBreak/>
        <w:t xml:space="preserve">“predictiveness” objection went entirely unaddressed, the abdication </w:t>
      </w:r>
      <w:r>
        <w:rPr>
          <w:i/>
          <w:iCs/>
        </w:rPr>
        <w:t xml:space="preserve">Cameron </w:t>
      </w:r>
      <w:r>
        <w:t>forbids. Sickel's CV lists no peer-reviewed publications, validation studies, or research demonstrating error rates for her methodology.</w:t>
      </w:r>
    </w:p>
    <w:p w14:paraId="1C196C35" w14:textId="77777777" w:rsidR="00ED16E0" w:rsidRDefault="00000000">
      <w:pPr>
        <w:pStyle w:val="Heading3"/>
        <w:numPr>
          <w:ilvl w:val="2"/>
          <w:numId w:val="3"/>
        </w:numPr>
      </w:pPr>
      <w:r>
        <w:t>Sickel's Trial Testimony and the Prosecutor's Closing Crossed the Line.</w:t>
      </w:r>
    </w:p>
    <w:p w14:paraId="1658EFF2" w14:textId="77777777" w:rsidR="00ED16E0" w:rsidRDefault="00000000">
      <w:pPr>
        <w:spacing w:before="240" w:after="240"/>
        <w:ind w:firstLine="720"/>
      </w:pPr>
      <w:r>
        <w:t>After the court prohibited "accuracy" opinions, Sickel nonetheless testified:</w:t>
      </w:r>
    </w:p>
    <w:p w14:paraId="6CF9C8DA" w14:textId="77777777" w:rsidR="00ED16E0" w:rsidRDefault="00000000">
      <w:pPr>
        <w:spacing w:before="240" w:line="276" w:lineRule="auto"/>
        <w:ind w:left="720" w:right="720"/>
        <w:rPr>
          <w:sz w:val="20"/>
          <w:szCs w:val="20"/>
          <w:u w:val="single"/>
        </w:rPr>
      </w:pPr>
      <w:r>
        <w:rPr>
          <w:sz w:val="20"/>
          <w:szCs w:val="20"/>
        </w:rPr>
        <w:t xml:space="preserve">I did not [observe signs of coaching], because she was using age-appropriate language and she was able to provide sensory detail, and the way she was talking or explaining something, </w:t>
      </w:r>
      <w:r>
        <w:rPr>
          <w:sz w:val="20"/>
          <w:szCs w:val="20"/>
          <w:u w:val="single"/>
        </w:rPr>
        <w:t>it presented as she was talking from something that she experienced, something that she saw.</w:t>
      </w:r>
    </w:p>
    <w:p w14:paraId="459B42A7" w14:textId="77777777" w:rsidR="00ED16E0" w:rsidRDefault="00000000">
      <w:pPr>
        <w:spacing w:before="240" w:after="240"/>
        <w:ind w:firstLine="20"/>
      </w:pPr>
      <w:r>
        <w:t>(138:247). (emphasis added.)</w:t>
      </w:r>
    </w:p>
    <w:p w14:paraId="7058CEAA" w14:textId="77777777" w:rsidR="00ED16E0" w:rsidRDefault="00000000">
      <w:pPr>
        <w:spacing w:before="240" w:after="240"/>
        <w:ind w:firstLine="720"/>
      </w:pPr>
      <w:r>
        <w:t xml:space="preserve">Sickel’s testimony tracks the formulation held impermissible in </w:t>
      </w:r>
      <w:r>
        <w:rPr>
          <w:i/>
          <w:iCs/>
        </w:rPr>
        <w:t>State v. Krueger</w:t>
      </w:r>
      <w:r>
        <w:t xml:space="preserve">, 2008 WI App 162, 314 Wis. 2d 605, 762 N.W.2d 114, not the limited testimony the Supreme Court approved in </w:t>
      </w:r>
      <w:r>
        <w:rPr>
          <w:i/>
          <w:iCs/>
        </w:rPr>
        <w:t>State v. Maday</w:t>
      </w:r>
      <w:r>
        <w:t xml:space="preserve">, 2017 WI 28, 374 Wis. 2d 164, 892 N.W.2d 611. In </w:t>
      </w:r>
      <w:r>
        <w:rPr>
          <w:i/>
          <w:iCs/>
        </w:rPr>
        <w:t>Krueger</w:t>
      </w:r>
      <w:r>
        <w:t xml:space="preserve">, the forensic interviewer testified the child could not have maintained consistency “unless it was something that she had experienced.” 2008 WI App 162, ¶¶5, 15. The court held this “went a step too far” because the interviewer “testified that S.B. had to have experienced the alleged contact”—testimony </w:t>
      </w:r>
      <w:r>
        <w:lastRenderedPageBreak/>
        <w:t xml:space="preserve">“tantamount to an opinion that the complainant had been assaulted.” </w:t>
      </w:r>
      <w:r>
        <w:rPr>
          <w:i/>
          <w:iCs/>
        </w:rPr>
        <w:t>Id.</w:t>
      </w:r>
      <w:r>
        <w:t xml:space="preserve"> ¶16. Here, Sickel used virtually identical language: JV1 “was talking from something that she experienced, something that she saw.” (138:247). Both experts moved from observable indicators to the subjective conclusion that the child was describing an actual event.</w:t>
      </w:r>
    </w:p>
    <w:p w14:paraId="19FD5356" w14:textId="54B9C92E" w:rsidR="00ED16E0" w:rsidRDefault="00000000">
      <w:pPr>
        <w:spacing w:before="240" w:after="240"/>
        <w:ind w:firstLine="720"/>
      </w:pPr>
      <w:r>
        <w:t xml:space="preserve">Contrast </w:t>
      </w:r>
      <w:r>
        <w:rPr>
          <w:i/>
          <w:iCs/>
        </w:rPr>
        <w:t>Maday</w:t>
      </w:r>
      <w:r>
        <w:t xml:space="preserve">, where the Supreme Court found no </w:t>
      </w:r>
      <w:r>
        <w:rPr>
          <w:i/>
          <w:iCs/>
        </w:rPr>
        <w:t>Haseltine</w:t>
      </w:r>
      <w:r>
        <w:t xml:space="preserve"> violation because the forensic interviewer testified only that she did not observe “indications” of coaching or dishonesty during the interview—an opinion “limited only to observations of the indications” made “during the cognitive graphic interview.” 2017 WI 28, ¶38. The Court distinguished </w:t>
      </w:r>
      <w:r>
        <w:rPr>
          <w:i/>
          <w:iCs/>
        </w:rPr>
        <w:t>Krueger</w:t>
      </w:r>
      <w:r>
        <w:t xml:space="preserve"> on precisely this basis: “</w:t>
      </w:r>
      <w:r w:rsidR="000E3ACC">
        <w:t xml:space="preserve">[the witness] </w:t>
      </w:r>
      <w:r>
        <w:t xml:space="preserve">did not testify that K.L. could only maintain the consistency of her allegations ‘unless it was something that [K.L.] had experienced’” but instead “provided testimony grounded in her training as a forensic interviewer by limiting her testimony to the indications she is trained to look for.” </w:t>
      </w:r>
      <w:r>
        <w:rPr>
          <w:i/>
          <w:iCs/>
        </w:rPr>
        <w:t>Id.</w:t>
      </w:r>
      <w:r>
        <w:t xml:space="preserve"> ¶39. Sickel did not limit herself in this way. Like </w:t>
      </w:r>
      <w:r>
        <w:rPr>
          <w:i/>
          <w:iCs/>
        </w:rPr>
        <w:t>Krueger</w:t>
      </w:r>
      <w:r w:rsidR="00074B7E">
        <w:t xml:space="preserve">, </w:t>
      </w:r>
      <w:r>
        <w:t xml:space="preserve">and unlike </w:t>
      </w:r>
      <w:r>
        <w:rPr>
          <w:i/>
          <w:iCs/>
        </w:rPr>
        <w:t>Maday</w:t>
      </w:r>
      <w:r w:rsidR="00074B7E">
        <w:t xml:space="preserve">, </w:t>
      </w:r>
      <w:r>
        <w:t xml:space="preserve">Sickel drew the inferential conclusion that JV1 was describing something that </w:t>
      </w:r>
      <w:proofErr w:type="gramStart"/>
      <w:r>
        <w:t>actually happened</w:t>
      </w:r>
      <w:proofErr w:type="gramEnd"/>
      <w:r>
        <w:t xml:space="preserve"> to her. The prosecutor then compounded the violation, telling jurors that sensory details mean “it’s most likely the </w:t>
      </w:r>
      <w:r>
        <w:lastRenderedPageBreak/>
        <w:t>child relaying their own experience,” and pointing to this child’s specific details as proof. (141:32.)</w:t>
      </w:r>
    </w:p>
    <w:p w14:paraId="2672BC39" w14:textId="77777777" w:rsidR="00ED16E0" w:rsidRDefault="00000000">
      <w:pPr>
        <w:spacing w:before="240" w:after="240"/>
        <w:ind w:firstLine="720"/>
      </w:pPr>
      <w:r>
        <w:t xml:space="preserve">This is the prohibited “extra step” that crosses the line from assisting to usurping the jury’s role. </w:t>
      </w:r>
      <w:r>
        <w:rPr>
          <w:i/>
          <w:iCs/>
        </w:rPr>
        <w:t xml:space="preserve">Molde, </w:t>
      </w:r>
      <w:r>
        <w:t>2025 WI 21, ¶¶18, 21, 416 Wis. 2d 262, 21 N.W.3d 343.</w:t>
      </w:r>
    </w:p>
    <w:p w14:paraId="1AAB901B" w14:textId="77777777" w:rsidR="00ED16E0" w:rsidRDefault="00000000">
      <w:pPr>
        <w:pStyle w:val="Heading3"/>
        <w:numPr>
          <w:ilvl w:val="2"/>
          <w:numId w:val="3"/>
        </w:numPr>
      </w:pPr>
      <w:bookmarkStart w:id="7" w:name="_heading=h.ssuwyjm7e1fx" w:colFirst="0" w:colLast="0"/>
      <w:bookmarkEnd w:id="7"/>
      <w:r>
        <w:t>Prejudice.</w:t>
      </w:r>
    </w:p>
    <w:p w14:paraId="42C41488" w14:textId="77777777" w:rsidR="00ED16E0" w:rsidRDefault="00000000">
      <w:pPr>
        <w:spacing w:before="240" w:after="240"/>
        <w:ind w:firstLine="720"/>
      </w:pPr>
      <w:r>
        <w:t xml:space="preserve">Improper </w:t>
      </w:r>
      <w:r>
        <w:rPr>
          <w:i/>
          <w:iCs/>
        </w:rPr>
        <w:t xml:space="preserve">Haseltine </w:t>
      </w:r>
      <w:r>
        <w:t xml:space="preserve">testimony is ripe to cause prejudice in credibility contests. </w:t>
      </w:r>
      <w:r>
        <w:rPr>
          <w:i/>
          <w:iCs/>
        </w:rPr>
        <w:t>Krueger</w:t>
      </w:r>
      <w:r>
        <w:t>, 2008 WI App 162, ¶¶17-20. Here, Sickel’s testimony, and the prosecutor’s application of it, provided the jury with expert validation of the complainant’s account in a case where validation was precisely the jury’s task. This error independently requires reversal and a new trial.</w:t>
      </w:r>
    </w:p>
    <w:p w14:paraId="77546C23" w14:textId="77777777" w:rsidR="00ED16E0" w:rsidRDefault="00000000">
      <w:pPr>
        <w:pStyle w:val="Heading3"/>
        <w:numPr>
          <w:ilvl w:val="2"/>
          <w:numId w:val="3"/>
        </w:numPr>
      </w:pPr>
      <w:r>
        <w:t xml:space="preserve">The </w:t>
      </w:r>
      <w:r>
        <w:rPr>
          <w:i/>
          <w:iCs/>
        </w:rPr>
        <w:t>Haseltine</w:t>
      </w:r>
      <w:r>
        <w:t xml:space="preserve"> Issue Is Not Forfeited or Waived.</w:t>
      </w:r>
    </w:p>
    <w:p w14:paraId="7CC56689" w14:textId="77777777" w:rsidR="00ED16E0" w:rsidRDefault="00000000">
      <w:pPr>
        <w:spacing w:before="240" w:after="240"/>
        <w:ind w:firstLine="720"/>
      </w:pPr>
      <w:r>
        <w:t xml:space="preserve">Defense counsel did not contemporaneously object to Sickel's testimony that JV1 "was talking from something that she experienced, something that she saw." (138:247). The State may argue this </w:t>
      </w:r>
      <w:r>
        <w:rPr>
          <w:i/>
          <w:iCs/>
        </w:rPr>
        <w:t>Haseltine</w:t>
      </w:r>
      <w:r>
        <w:t xml:space="preserve"> violation is therefore forfeited. This Court should exercise its discretion to reach the merits.</w:t>
      </w:r>
    </w:p>
    <w:p w14:paraId="3BFB7E4C" w14:textId="77777777" w:rsidR="00ED16E0" w:rsidRDefault="00000000">
      <w:pPr>
        <w:spacing w:before="240" w:after="240"/>
        <w:ind w:firstLine="720"/>
      </w:pPr>
      <w:r>
        <w:lastRenderedPageBreak/>
        <w:t xml:space="preserve">"[T]he values protected by the forfeiture and waiver rules would not be protected in the instant case by applying [the] rule to either the defendant or the State." </w:t>
      </w:r>
      <w:r>
        <w:rPr>
          <w:i/>
          <w:iCs/>
        </w:rPr>
        <w:t>See State v. Ndina</w:t>
      </w:r>
      <w:r>
        <w:t xml:space="preserve">, 2009 WI 21, ¶38, 315 Wis. 2d 653, 761 N.W.2d 612. "[T]he forfeiture rule is a rule of judicial administration, and thus a reviewing court may disregard a forfeiture and address the merits of an unpreserved issue in an appropriate case." </w:t>
      </w:r>
      <w:r>
        <w:rPr>
          <w:i/>
          <w:iCs/>
        </w:rPr>
        <w:t>State v. Counihan</w:t>
      </w:r>
      <w:r>
        <w:t>, 2020 WI 12, ¶27, 390 Wis. 2d 172, 938 N.W.2d 530.</w:t>
      </w:r>
    </w:p>
    <w:p w14:paraId="3A28EC12" w14:textId="77777777" w:rsidR="00ED16E0" w:rsidRDefault="00000000">
      <w:pPr>
        <w:spacing w:before="240" w:after="240"/>
        <w:ind w:firstLine="720"/>
      </w:pPr>
      <w:r>
        <w:t xml:space="preserve">Alternatively, this Court should review the error under the plain error doctrine. Wis. Stat. § 901.03(4). Plain error is "error so fundamental that a new trial or other relief must be granted even though the action was not objected to at the time." </w:t>
      </w:r>
      <w:r>
        <w:rPr>
          <w:i/>
          <w:iCs/>
        </w:rPr>
        <w:t>State v. Jorgensen</w:t>
      </w:r>
      <w:r>
        <w:t xml:space="preserve">, 2008 WI 60, ¶21, 310 Wis. 2d 138, 754 N.W.2d 77. A </w:t>
      </w:r>
      <w:r>
        <w:rPr>
          <w:i/>
          <w:iCs/>
        </w:rPr>
        <w:t xml:space="preserve">Haseltine </w:t>
      </w:r>
      <w:r>
        <w:t>violation in a credibility contest where the court explicitly prohibited the testimony satisfies that standard.</w:t>
      </w:r>
    </w:p>
    <w:p w14:paraId="4EF54CCC" w14:textId="77777777" w:rsidR="00ED16E0" w:rsidRDefault="00000000">
      <w:pPr>
        <w:spacing w:before="240" w:after="240"/>
        <w:ind w:firstLine="720"/>
      </w:pPr>
      <w:r>
        <w:t xml:space="preserve">This case warrants reaching the merits. The circuit court’s </w:t>
      </w:r>
      <w:r>
        <w:rPr>
          <w:i/>
          <w:iCs/>
        </w:rPr>
        <w:t>Daubert</w:t>
      </w:r>
      <w:r>
        <w:t xml:space="preserve"> ruling explicitly prohibited exactly what occurred. Defense counsel objected to any testimony about whether JV1 was "being truthful." (71:80, 83). The prosecutor agreed: "I would agree she should not say that. I will have to make sure to instruct so that she doesn't say that." (71:91). The </w:t>
      </w:r>
      <w:r>
        <w:lastRenderedPageBreak/>
        <w:t>court ordered: "Certainly that will be the order of the Court." (71:91).</w:t>
      </w:r>
    </w:p>
    <w:p w14:paraId="33901B48" w14:textId="77777777" w:rsidR="00ED16E0" w:rsidRDefault="00000000">
      <w:pPr>
        <w:spacing w:before="240" w:after="240"/>
        <w:ind w:firstLine="720"/>
      </w:pPr>
      <w:r>
        <w:t>Critically, the prosecutor himself defined the permissible line: "Ms. Sickel is able to say that these are the signs of coaching, but when I watched the interview, I did not see any signs of coaching. I think she can say that." (71:90).</w:t>
      </w:r>
    </w:p>
    <w:p w14:paraId="3A736595" w14:textId="77777777" w:rsidR="00ED16E0" w:rsidRDefault="00000000">
      <w:pPr>
        <w:spacing w:before="240" w:after="240"/>
        <w:ind w:firstLine="720"/>
      </w:pPr>
      <w:r>
        <w:t>Yet at trial, the prosecutor's coaching question resulted in Sickel crossing that very line. When asked whether she "observe[d] any sort of signs that [JV1] might have been coached," Sickel answered "I did not, . . .   it presented as she was talking from something that she experienced, something that she saw." (138:247). The answer transformed an observation about the absence of coaching indicators into an opinion that JV1 was describing something that actually happened to her, precisely the truthfulness opinion the court had prohibited.</w:t>
      </w:r>
    </w:p>
    <w:p w14:paraId="780CE974" w14:textId="77777777" w:rsidR="00ED16E0" w:rsidRDefault="00000000">
      <w:pPr>
        <w:spacing w:before="240" w:after="240"/>
        <w:ind w:firstLine="720"/>
        <w:rPr>
          <w:b/>
          <w:bCs/>
        </w:rPr>
      </w:pPr>
      <w:r>
        <w:t xml:space="preserve">Finally, the issue is set to be fully briefed and the </w:t>
      </w:r>
      <w:r>
        <w:rPr>
          <w:i/>
          <w:iCs/>
        </w:rPr>
        <w:t>Haseltine</w:t>
      </w:r>
      <w:r>
        <w:t xml:space="preserve"> violation is clear from the trial record, and this Court retains discretionary reversal authority under Wis. Stat. §§ 901.03(4), 752.35.</w:t>
      </w:r>
    </w:p>
    <w:p w14:paraId="22650FAA" w14:textId="77777777" w:rsidR="00ED16E0" w:rsidRDefault="00000000">
      <w:pPr>
        <w:pStyle w:val="Heading2"/>
        <w:numPr>
          <w:ilvl w:val="1"/>
          <w:numId w:val="4"/>
        </w:numPr>
      </w:pPr>
      <w:r>
        <w:t xml:space="preserve">THIS COURT SHOULD REVERSE MR. CHRISTOPHERSON'S CONVICTION IN THE INTEREST OF JUSTICE BASED ON </w:t>
      </w:r>
      <w:r>
        <w:lastRenderedPageBreak/>
        <w:t>THE CUMULATIVE EFFECT OF PRESERVED ERRORS.</w:t>
      </w:r>
    </w:p>
    <w:p w14:paraId="1A169E70" w14:textId="77777777" w:rsidR="00ED16E0" w:rsidRDefault="00000000">
      <w:pPr>
        <w:spacing w:before="240" w:after="240"/>
        <w:ind w:firstLine="720"/>
      </w:pPr>
      <w:r>
        <w:t>Under Wis. Stat. § 752.35, the Court of Appeals may reverse a judgment:</w:t>
      </w:r>
    </w:p>
    <w:p w14:paraId="70C8F292" w14:textId="77777777" w:rsidR="00ED16E0" w:rsidRDefault="00000000">
      <w:pPr>
        <w:spacing w:before="240"/>
        <w:ind w:left="720"/>
        <w:rPr>
          <w:sz w:val="20"/>
          <w:szCs w:val="20"/>
        </w:rPr>
      </w:pPr>
      <w:r>
        <w:rPr>
          <w:sz w:val="20"/>
          <w:szCs w:val="20"/>
        </w:rPr>
        <w:t xml:space="preserve">if it appears from the record that the real controversy has not been fully tried, or that it is probable that justice has for any reason miscarried, the court may reverse the judgment or order appealed from, regardless of whether the proper motion or objection appears in the record . . . . </w:t>
      </w:r>
    </w:p>
    <w:p w14:paraId="680EBA9B" w14:textId="77777777" w:rsidR="00ED16E0" w:rsidRDefault="00000000">
      <w:pPr>
        <w:spacing w:before="240" w:after="240"/>
      </w:pPr>
      <w:r>
        <w:rPr>
          <w:i/>
          <w:iCs/>
        </w:rPr>
        <w:t>See also</w:t>
      </w:r>
      <w:r>
        <w:t xml:space="preserve"> </w:t>
      </w:r>
      <w:r>
        <w:rPr>
          <w:i/>
          <w:iCs/>
        </w:rPr>
        <w:t>State v. Wyss,</w:t>
      </w:r>
      <w:r>
        <w:t xml:space="preserve"> 124 Wis. 2d 681, 735-36, 370 N.W.2d 745 (1985), </w:t>
      </w:r>
      <w:r>
        <w:rPr>
          <w:i/>
          <w:iCs/>
        </w:rPr>
        <w:t>overruled on other grounds, State v. Poellinger,</w:t>
      </w:r>
      <w:r>
        <w:t xml:space="preserve"> 153 Wis. 2d 493, 506, 451 N.W.2d 752, 757 (1990).</w:t>
      </w:r>
    </w:p>
    <w:p w14:paraId="1819B7FC" w14:textId="0711AE5E" w:rsidR="00ED16E0" w:rsidRDefault="00000000">
      <w:pPr>
        <w:spacing w:before="240" w:after="240"/>
        <w:ind w:firstLine="720"/>
      </w:pPr>
      <w:r>
        <w:t xml:space="preserve">Wisconsin also recognizes "the cumulative effect of several errors may, in certain instances, undermine a reviewing court's confidence in the outcome of a proceeding." </w:t>
      </w:r>
      <w:r>
        <w:rPr>
          <w:i/>
          <w:iCs/>
        </w:rPr>
        <w:t>State v. Harris</w:t>
      </w:r>
      <w:r>
        <w:t>, 2008 WI 15, ¶49, 307 Wis. 2d 555. The question is whether multiple errors, considered together against the full record</w:t>
      </w:r>
      <w:r w:rsidR="00E215BB">
        <w:t xml:space="preserve"> </w:t>
      </w:r>
      <w:proofErr w:type="gramStart"/>
      <w:r w:rsidR="00E215BB">
        <w:t>was</w:t>
      </w:r>
      <w:proofErr w:type="gramEnd"/>
      <w:r>
        <w:t xml:space="preserve"> "</w:t>
      </w:r>
      <w:r w:rsidR="00E215BB" w:rsidRPr="00E215BB">
        <w:t>so infected with error as to amount to a deprivation of his right to a fair trial</w:t>
      </w:r>
      <w:r>
        <w:t xml:space="preserve">." </w:t>
      </w:r>
      <w:r>
        <w:rPr>
          <w:i/>
          <w:iCs/>
        </w:rPr>
        <w:t>State v. Mayo</w:t>
      </w:r>
      <w:r>
        <w:t>, 2007 WI 78,</w:t>
      </w:r>
      <w:r w:rsidR="00E215BB">
        <w:t xml:space="preserve"> </w:t>
      </w:r>
      <w:r w:rsidR="00E215BB" w:rsidRPr="000E3ACC">
        <w:rPr>
          <w:bCs/>
        </w:rPr>
        <w:t>¶</w:t>
      </w:r>
      <w:r w:rsidR="00E215BB">
        <w:rPr>
          <w:bCs/>
        </w:rPr>
        <w:t>64, n.8,</w:t>
      </w:r>
      <w:r>
        <w:t xml:space="preserve"> 301 Wis. 2d 642, 734 N.W.2d 115 (applying this standard); </w:t>
      </w:r>
      <w:r>
        <w:rPr>
          <w:i/>
          <w:iCs/>
        </w:rPr>
        <w:t>see also</w:t>
      </w:r>
      <w:r>
        <w:t xml:space="preserve"> </w:t>
      </w:r>
      <w:r>
        <w:rPr>
          <w:i/>
          <w:iCs/>
        </w:rPr>
        <w:t>Alvarez v. Boyd</w:t>
      </w:r>
      <w:r>
        <w:t>, 225 F.3d 820, 824 (7th Cir. 2000)</w:t>
      </w:r>
      <w:r w:rsidR="00E215BB">
        <w:t>.</w:t>
      </w:r>
    </w:p>
    <w:p w14:paraId="2DB3F2B3" w14:textId="77777777" w:rsidR="00ED16E0" w:rsidRDefault="00000000">
      <w:pPr>
        <w:pStyle w:val="Heading3"/>
        <w:numPr>
          <w:ilvl w:val="2"/>
          <w:numId w:val="7"/>
        </w:numPr>
      </w:pPr>
      <w:r>
        <w:t>The State’s Case Rested on a Single Uncorroborated Witness.</w:t>
      </w:r>
    </w:p>
    <w:p w14:paraId="6B7280AF" w14:textId="5947DF66" w:rsidR="00ED16E0" w:rsidRPr="000E3ACC" w:rsidRDefault="00000000">
      <w:pPr>
        <w:spacing w:before="240" w:after="240"/>
        <w:ind w:firstLine="720"/>
        <w:rPr>
          <w:bCs/>
        </w:rPr>
      </w:pPr>
      <w:r w:rsidRPr="000E3ACC">
        <w:rPr>
          <w:bCs/>
        </w:rPr>
        <w:lastRenderedPageBreak/>
        <w:t xml:space="preserve">The State’s case depended on the jury accepting JV1’s testimony over Mr. Christopherson’s denial and the testimony of multiple witnesses who contradicted aspects of JV1’s account. There was no physical evidence, no eyewitness corroboration, and the 2017 investigation closed as “unsubstantiated.” (4:2). JV1’s testimony contained significant inconsistencies between the 2017 and 2022 interviews, while Mr. Christopherson categorically denied the allegations. (140:225). This is precisely where cumulative errors are most dangerous. </w:t>
      </w:r>
      <w:r w:rsidRPr="00E215BB">
        <w:rPr>
          <w:bCs/>
          <w:i/>
          <w:iCs/>
        </w:rPr>
        <w:t>See</w:t>
      </w:r>
      <w:r w:rsidRPr="000E3ACC">
        <w:rPr>
          <w:bCs/>
        </w:rPr>
        <w:t xml:space="preserve"> </w:t>
      </w:r>
      <w:r w:rsidRPr="000E3ACC">
        <w:rPr>
          <w:bCs/>
          <w:i/>
          <w:iCs/>
        </w:rPr>
        <w:t>State v. Mayo</w:t>
      </w:r>
      <w:r w:rsidRPr="000E3ACC">
        <w:rPr>
          <w:bCs/>
        </w:rPr>
        <w:t>, 2007 WI 78, ¶</w:t>
      </w:r>
      <w:r w:rsidR="0061433C">
        <w:rPr>
          <w:bCs/>
        </w:rPr>
        <w:t>82-</w:t>
      </w:r>
      <w:r w:rsidRPr="000E3ACC">
        <w:rPr>
          <w:bCs/>
        </w:rPr>
        <w:t>87</w:t>
      </w:r>
      <w:r w:rsidR="0061433C">
        <w:rPr>
          <w:bCs/>
        </w:rPr>
        <w:t>, 301 Wis. 2d 642, 734 N.W.2d 115</w:t>
      </w:r>
      <w:r w:rsidRPr="000E3ACC">
        <w:rPr>
          <w:bCs/>
        </w:rPr>
        <w:t xml:space="preserve"> (Abrahamson, C.J., dissenting).</w:t>
      </w:r>
    </w:p>
    <w:p w14:paraId="22BFBA9A" w14:textId="77777777" w:rsidR="00ED16E0" w:rsidRDefault="00000000">
      <w:pPr>
        <w:pStyle w:val="Heading3"/>
        <w:numPr>
          <w:ilvl w:val="2"/>
          <w:numId w:val="7"/>
        </w:numPr>
      </w:pPr>
      <w:r>
        <w:t>Multiple Preserved Errors Converged on Credibility.</w:t>
      </w:r>
    </w:p>
    <w:p w14:paraId="306677B1" w14:textId="77777777" w:rsidR="00ED16E0" w:rsidRDefault="00000000">
      <w:pPr>
        <w:spacing w:before="240" w:after="240"/>
        <w:ind w:firstLine="720"/>
      </w:pPr>
      <w:r>
        <w:t xml:space="preserve">The errors detailed in Sections I through III each tilted the scales against Mr. Christopherson: the blanket admission of inflammatory other-acts invited the jury to condemn him as a “bad man,” </w:t>
      </w:r>
      <w:r>
        <w:rPr>
          <w:i/>
          <w:iCs/>
        </w:rPr>
        <w:t>Sullivan</w:t>
      </w:r>
      <w:r>
        <w:t xml:space="preserve"> analysis, without reviewing the digital evidence, and without the evidentiary hearing defense counsel requested. </w:t>
      </w:r>
      <w:r>
        <w:rPr>
          <w:i/>
          <w:iCs/>
        </w:rPr>
        <w:t>See</w:t>
      </w:r>
      <w:r>
        <w:t xml:space="preserve"> </w:t>
      </w:r>
      <w:r>
        <w:rPr>
          <w:i/>
          <w:iCs/>
        </w:rPr>
        <w:t>Sullivan</w:t>
      </w:r>
      <w:r>
        <w:t>, 216 Wis. 2d at 794.</w:t>
      </w:r>
    </w:p>
    <w:p w14:paraId="660AA1A8" w14:textId="77777777" w:rsidR="00ED16E0" w:rsidRDefault="00000000">
      <w:pPr>
        <w:spacing w:before="240" w:after="240"/>
        <w:ind w:firstLine="720"/>
      </w:pPr>
      <w:r>
        <w:t xml:space="preserve">Second, the court admitted decades-old prior convictions without meaningful remoteness analysis. </w:t>
      </w:r>
      <w:r>
        <w:rPr>
          <w:i/>
          <w:iCs/>
        </w:rPr>
        <w:t>See State v. Kuntz</w:t>
      </w:r>
      <w:r>
        <w:t xml:space="preserve">, 160 Wis. 2d 722, 752-53. </w:t>
      </w:r>
    </w:p>
    <w:p w14:paraId="40E89A80" w14:textId="77777777" w:rsidR="00ED16E0" w:rsidRDefault="00000000" w:rsidP="00D271B5">
      <w:pPr>
        <w:spacing w:before="240" w:after="240"/>
        <w:ind w:firstLine="720"/>
      </w:pPr>
      <w:r>
        <w:lastRenderedPageBreak/>
        <w:t xml:space="preserve">Third, the forensic interviewer’s testimony vouched for JV1’s truthfulness in violation of </w:t>
      </w:r>
      <w:r>
        <w:rPr>
          <w:i/>
          <w:iCs/>
        </w:rPr>
        <w:t>Haseltine</w:t>
      </w:r>
      <w:r>
        <w:t>. Fourth, the State’s immunity refusal foreclosed the attribution defense the court’s ruling expressly contemplated. (134:47). No single error can be isolated; each reinforced the others.</w:t>
      </w:r>
    </w:p>
    <w:p w14:paraId="367BECA1" w14:textId="77777777" w:rsidR="00ED16E0" w:rsidRDefault="00000000">
      <w:pPr>
        <w:pStyle w:val="Heading3"/>
        <w:numPr>
          <w:ilvl w:val="2"/>
          <w:numId w:val="7"/>
        </w:numPr>
      </w:pPr>
      <w:r>
        <w:t>The Real Controversy Was Not Fully Tried and Justice Has Miscarried.</w:t>
      </w:r>
    </w:p>
    <w:p w14:paraId="4B31A4F2" w14:textId="77777777" w:rsidR="00ED16E0" w:rsidRDefault="00000000">
      <w:pPr>
        <w:spacing w:before="240" w:after="240"/>
        <w:ind w:firstLine="720"/>
      </w:pPr>
      <w:r>
        <w:t xml:space="preserve">Under either prong of § 752.35, reversal is warranted. The inflammatory other-acts evidence, improper vouching, decades-old convictions, and foreclosure of Dylan Wilson’s testimony combined to ensure </w:t>
      </w:r>
      <w:r w:rsidRPr="00E215BB">
        <w:rPr>
          <w:bCs/>
        </w:rPr>
        <w:t>conviction</w:t>
      </w:r>
      <w:r>
        <w:rPr>
          <w:b/>
        </w:rPr>
        <w:t>:</w:t>
      </w:r>
      <w:r>
        <w:t xml:space="preserve"> not because evidence compelled it, but because the errors made any other verdict unthinkable.</w:t>
      </w:r>
    </w:p>
    <w:p w14:paraId="4A91A431" w14:textId="77777777" w:rsidR="00ED16E0" w:rsidRDefault="00000000">
      <w:pPr>
        <w:spacing w:before="240" w:after="240"/>
        <w:ind w:firstLine="720"/>
      </w:pPr>
      <w:r>
        <w:t xml:space="preserve">There is a substantial probability the result would have been different absent these errors. </w:t>
      </w:r>
      <w:r>
        <w:rPr>
          <w:i/>
          <w:iCs/>
        </w:rPr>
        <w:t>See Vollmer v. Luety</w:t>
      </w:r>
      <w:r>
        <w:t>, 156 Wis. 2d 1, 16, 456 N.W.2d 797 (1990). This Court should exercise its discretionary authority under Wis. Stat. § 752.35 and reverse.</w:t>
      </w:r>
    </w:p>
    <w:p w14:paraId="5054C231" w14:textId="77777777" w:rsidR="00ED16E0" w:rsidRDefault="00000000">
      <w:pPr>
        <w:pStyle w:val="Heading1"/>
      </w:pPr>
      <w:bookmarkStart w:id="8" w:name="_heading=h.un3e58yprh5c" w:colFirst="0" w:colLast="0"/>
      <w:bookmarkEnd w:id="8"/>
      <w:r>
        <w:t xml:space="preserve">Conclusion </w:t>
      </w:r>
    </w:p>
    <w:p w14:paraId="5EAABC33" w14:textId="77777777" w:rsidR="00ED16E0" w:rsidRDefault="00000000">
      <w:pPr>
        <w:pBdr>
          <w:top w:val="nil"/>
          <w:left w:val="nil"/>
          <w:bottom w:val="nil"/>
          <w:right w:val="nil"/>
          <w:between w:val="nil"/>
        </w:pBdr>
        <w:spacing w:before="240"/>
        <w:ind w:firstLine="720"/>
        <w:rPr>
          <w:color w:val="000000"/>
        </w:rPr>
      </w:pPr>
      <w:r>
        <w:t xml:space="preserve">The circuit court committed multiple preserved errors by admitting other-acts evidence without conducting the </w:t>
      </w:r>
      <w:r>
        <w:rPr>
          <w:i/>
          <w:iCs/>
        </w:rPr>
        <w:t>Sullivan</w:t>
      </w:r>
      <w:r>
        <w:t xml:space="preserve"> analysis or viewing the </w:t>
      </w:r>
      <w:r>
        <w:lastRenderedPageBreak/>
        <w:t xml:space="preserve">exhibits, admitting decades-old prior convictions without meaningful remoteness analysis, and permitting expert vouching in violation of </w:t>
      </w:r>
      <w:r>
        <w:rPr>
          <w:i/>
          <w:iCs/>
        </w:rPr>
        <w:t>Haseltine</w:t>
      </w:r>
      <w:r>
        <w:t>. The State then compounded those errors by refusing to request immunity for the witness whose testimony would have tested the attribution premise on which the other-acts ruling rested. Each error independently warrants reversal; their cumulative effect demands it. This Court should reverse the judgment of conviction and remand for a new trial.</w:t>
      </w:r>
    </w:p>
    <w:p w14:paraId="5702C7AB" w14:textId="77777777" w:rsidR="00ED16E0" w:rsidRDefault="00000000">
      <w:pPr>
        <w:pBdr>
          <w:top w:val="nil"/>
          <w:left w:val="nil"/>
          <w:bottom w:val="nil"/>
          <w:right w:val="nil"/>
          <w:between w:val="nil"/>
        </w:pBdr>
        <w:spacing w:before="240"/>
        <w:ind w:firstLine="720"/>
        <w:rPr>
          <w:color w:val="000000"/>
        </w:rPr>
      </w:pPr>
      <w:r>
        <w:rPr>
          <w:color w:val="000000"/>
        </w:rPr>
        <w:t>Dated this @ day of @, 2026.</w:t>
      </w:r>
    </w:p>
    <w:p w14:paraId="20B2CE7A" w14:textId="77777777" w:rsidR="00ED16E0" w:rsidRDefault="00000000">
      <w:pPr>
        <w:pBdr>
          <w:top w:val="nil"/>
          <w:left w:val="nil"/>
          <w:bottom w:val="nil"/>
          <w:right w:val="nil"/>
          <w:between w:val="nil"/>
        </w:pBdr>
        <w:spacing w:before="240"/>
        <w:ind w:left="1440" w:firstLine="720"/>
        <w:rPr>
          <w:color w:val="000000"/>
        </w:rPr>
      </w:pPr>
      <w:r>
        <w:rPr>
          <w:color w:val="000000"/>
        </w:rPr>
        <w:t>Respectfully submitted,</w:t>
      </w:r>
    </w:p>
    <w:p w14:paraId="06A7F29E" w14:textId="77777777" w:rsidR="00ED16E0" w:rsidRDefault="00ED16E0">
      <w:pPr>
        <w:keepNext/>
        <w:keepLines/>
        <w:ind w:left="2160"/>
      </w:pPr>
    </w:p>
    <w:p w14:paraId="74135822" w14:textId="77777777" w:rsidR="00ED16E0" w:rsidRDefault="00000000">
      <w:pPr>
        <w:keepNext/>
        <w:keepLines/>
        <w:ind w:left="2160"/>
        <w:rPr>
          <w:i/>
          <w:iCs/>
          <w:u w:val="single"/>
        </w:rPr>
      </w:pPr>
      <w:r>
        <w:rPr>
          <w:i/>
          <w:iCs/>
          <w:u w:val="single"/>
        </w:rPr>
        <w:t>Electronically signed by</w:t>
      </w:r>
    </w:p>
    <w:p w14:paraId="25290E28" w14:textId="77777777" w:rsidR="00ED16E0" w:rsidRDefault="00000000">
      <w:pPr>
        <w:keepNext/>
        <w:keepLines/>
        <w:ind w:left="2160"/>
        <w:rPr>
          <w:i/>
          <w:iCs/>
          <w:u w:val="single"/>
        </w:rPr>
      </w:pPr>
      <w:r>
        <w:rPr>
          <w:i/>
          <w:iCs/>
          <w:u w:val="single"/>
        </w:rPr>
        <w:t>Nicholas G. Smith</w:t>
      </w:r>
    </w:p>
    <w:p w14:paraId="3310ED79" w14:textId="77777777" w:rsidR="00ED16E0" w:rsidRDefault="00000000">
      <w:pPr>
        <w:keepNext/>
        <w:keepLines/>
        <w:ind w:left="2160"/>
      </w:pPr>
      <w:r>
        <w:t>NICHOLAS G. SMITH</w:t>
      </w:r>
    </w:p>
    <w:p w14:paraId="2B7305BD" w14:textId="77777777" w:rsidR="00ED16E0" w:rsidRDefault="00000000">
      <w:pPr>
        <w:keepNext/>
        <w:keepLines/>
        <w:ind w:left="2160"/>
      </w:pPr>
      <w:r>
        <w:t>Assistant State Public Defender</w:t>
      </w:r>
    </w:p>
    <w:p w14:paraId="76AFE1C6" w14:textId="77777777" w:rsidR="00ED16E0" w:rsidRDefault="00000000">
      <w:pPr>
        <w:keepNext/>
        <w:keepLines/>
        <w:ind w:left="2160"/>
      </w:pPr>
      <w:r>
        <w:t>State Bar No. 1089586</w:t>
      </w:r>
    </w:p>
    <w:p w14:paraId="54755906" w14:textId="77777777" w:rsidR="00ED16E0" w:rsidRDefault="00ED16E0">
      <w:pPr>
        <w:keepNext/>
        <w:keepLines/>
        <w:ind w:left="2160"/>
      </w:pPr>
    </w:p>
    <w:p w14:paraId="34E50AD4" w14:textId="77777777" w:rsidR="00ED16E0" w:rsidRDefault="00000000">
      <w:pPr>
        <w:keepNext/>
        <w:keepLines/>
        <w:ind w:left="2160"/>
      </w:pPr>
      <w:r>
        <w:t>Office of the State Public Defender</w:t>
      </w:r>
    </w:p>
    <w:p w14:paraId="51DD4413" w14:textId="77777777" w:rsidR="00ED16E0" w:rsidRDefault="00000000">
      <w:pPr>
        <w:keepNext/>
        <w:keepLines/>
        <w:ind w:left="2160"/>
      </w:pPr>
      <w:r>
        <w:t>Post Office Box 7862</w:t>
      </w:r>
    </w:p>
    <w:p w14:paraId="30897DAC" w14:textId="77777777" w:rsidR="00ED16E0" w:rsidRDefault="00000000">
      <w:pPr>
        <w:keepNext/>
        <w:keepLines/>
        <w:ind w:left="2160"/>
      </w:pPr>
      <w:r>
        <w:t>Madison, WI  53707-7862</w:t>
      </w:r>
    </w:p>
    <w:p w14:paraId="25A6F120" w14:textId="77777777" w:rsidR="00ED16E0" w:rsidRDefault="00000000">
      <w:pPr>
        <w:keepNext/>
        <w:keepLines/>
        <w:ind w:left="2160"/>
      </w:pPr>
      <w:r>
        <w:t>(608) 261-5417</w:t>
      </w:r>
    </w:p>
    <w:p w14:paraId="107D109A" w14:textId="77777777" w:rsidR="00ED16E0" w:rsidRDefault="00000000">
      <w:pPr>
        <w:keepNext/>
        <w:keepLines/>
        <w:ind w:left="2160"/>
      </w:pPr>
      <w:r>
        <w:t xml:space="preserve">smithn@opd.wi.gov </w:t>
      </w:r>
    </w:p>
    <w:p w14:paraId="28F28B5C" w14:textId="77777777" w:rsidR="00ED16E0" w:rsidRDefault="00ED16E0">
      <w:pPr>
        <w:keepNext/>
        <w:keepLines/>
        <w:ind w:left="2160"/>
      </w:pPr>
    </w:p>
    <w:p w14:paraId="7BD910B9" w14:textId="77777777" w:rsidR="00ED16E0" w:rsidRDefault="00000000">
      <w:pPr>
        <w:keepNext/>
        <w:keepLines/>
        <w:ind w:left="2160"/>
      </w:pPr>
      <w:r>
        <w:t>Attorney for Defendant-Appellant</w:t>
      </w:r>
    </w:p>
    <w:p w14:paraId="51639446" w14:textId="77777777" w:rsidR="00ED16E0" w:rsidRDefault="00000000">
      <w:pPr>
        <w:spacing w:line="240" w:lineRule="auto"/>
        <w:jc w:val="left"/>
        <w:rPr>
          <w:b/>
          <w:bCs/>
          <w:smallCaps/>
        </w:rPr>
      </w:pPr>
      <w:r>
        <w:br w:type="page"/>
      </w:r>
    </w:p>
    <w:p w14:paraId="743C2010" w14:textId="77777777" w:rsidR="00ED16E0" w:rsidRDefault="00000000">
      <w:pPr>
        <w:pStyle w:val="Heading1"/>
      </w:pPr>
      <w:bookmarkStart w:id="9" w:name="_heading=h.ursezjq8la9b" w:colFirst="0" w:colLast="0"/>
      <w:bookmarkEnd w:id="9"/>
      <w:r>
        <w:lastRenderedPageBreak/>
        <w:t xml:space="preserve">Certifications </w:t>
      </w:r>
    </w:p>
    <w:p w14:paraId="41A6EF76" w14:textId="77777777" w:rsidR="00ED16E0" w:rsidRDefault="00000000">
      <w:pPr>
        <w:ind w:firstLine="720"/>
      </w:pPr>
      <w:r>
        <w:t xml:space="preserve">I hereby certify that this brief conforms to the rules contained in s. 809.19(8)(b), (bm), and (c) for a brief. The length of this brief is XXXX words. </w:t>
      </w:r>
    </w:p>
    <w:p w14:paraId="3C3D6034" w14:textId="77777777" w:rsidR="00ED16E0" w:rsidRDefault="00000000">
      <w:pPr>
        <w:ind w:firstLine="720"/>
      </w:pPr>
      <w:r>
        <w:t>I hereby certify that filed with this brief is an appendix that complies with s. 809.19(2)(a) and that contains, at a minimum: (1) a table of contents;</w:t>
      </w:r>
      <w:r>
        <w:br/>
        <w:t>(2) the findings or opinion of the circuit court; (3) a copy of any unpublished opinion cited under</w:t>
      </w:r>
      <w:r>
        <w:br/>
        <w:t xml:space="preserve">s. 809.23(3)(a) or (b); and (4) portions of the record essential to an understanding of the issues raised, including oral or written rules or decisions showing the circuit court’s reasoning regarding those issues. </w:t>
      </w:r>
    </w:p>
    <w:p w14:paraId="19A078AB" w14:textId="77777777" w:rsidR="00ED16E0" w:rsidRDefault="00000000">
      <w:pPr>
        <w:ind w:firstLine="720"/>
      </w:pPr>
      <w:r>
        <w:t>I further certify that if this appeal is taken from a circuit court order or judgment entered in a judicial review or an administrative decision, the appendix contains the findings of fact and conclusions of law, if any, and final decision of the administrative agency. I further certify that if the record is required by law to be confidential, the portions of the record included in the appendix are reproduced using one or more initials or other appropriate pseudonym or designation instead of full names of persons, specifically including juveniles and parents of juveniles, with a notation that the portions of the record have been so reproduced to preserve confidentiality and with appropriate references to the record.</w:t>
      </w:r>
    </w:p>
    <w:p w14:paraId="3C42006D" w14:textId="77777777" w:rsidR="00ED16E0" w:rsidRDefault="00000000">
      <w:pPr>
        <w:spacing w:line="240" w:lineRule="auto"/>
        <w:ind w:left="2160"/>
      </w:pPr>
      <w:r>
        <w:lastRenderedPageBreak/>
        <w:t>Signed:</w:t>
      </w:r>
    </w:p>
    <w:p w14:paraId="4B173A4D" w14:textId="77777777" w:rsidR="00ED16E0" w:rsidRDefault="00ED16E0">
      <w:pPr>
        <w:spacing w:line="240" w:lineRule="auto"/>
        <w:ind w:left="2160"/>
        <w:rPr>
          <w:i/>
          <w:iCs/>
          <w:u w:val="single"/>
        </w:rPr>
      </w:pPr>
    </w:p>
    <w:p w14:paraId="55247A9B" w14:textId="77777777" w:rsidR="00ED16E0" w:rsidRDefault="00000000">
      <w:pPr>
        <w:spacing w:line="240" w:lineRule="auto"/>
        <w:ind w:left="2160"/>
        <w:rPr>
          <w:i/>
          <w:iCs/>
          <w:u w:val="single"/>
        </w:rPr>
      </w:pPr>
      <w:r>
        <w:rPr>
          <w:i/>
          <w:iCs/>
          <w:u w:val="single"/>
        </w:rPr>
        <w:t>Electronically signed by</w:t>
      </w:r>
    </w:p>
    <w:p w14:paraId="738075F4" w14:textId="77777777" w:rsidR="00ED16E0" w:rsidRDefault="00000000">
      <w:pPr>
        <w:spacing w:line="240" w:lineRule="auto"/>
        <w:ind w:left="2160"/>
        <w:rPr>
          <w:i/>
          <w:iCs/>
          <w:u w:val="single"/>
        </w:rPr>
      </w:pPr>
      <w:r>
        <w:rPr>
          <w:i/>
          <w:iCs/>
          <w:u w:val="single"/>
        </w:rPr>
        <w:t>Nicholas G. Smith</w:t>
      </w:r>
    </w:p>
    <w:p w14:paraId="223A1631" w14:textId="77777777" w:rsidR="00ED16E0" w:rsidRDefault="00000000">
      <w:pPr>
        <w:spacing w:line="240" w:lineRule="auto"/>
        <w:ind w:left="2160"/>
      </w:pPr>
      <w:r>
        <w:t>NICHOLAS G. SMITH</w:t>
      </w:r>
    </w:p>
    <w:p w14:paraId="297215B7" w14:textId="77777777" w:rsidR="00ED16E0" w:rsidRDefault="00000000">
      <w:pPr>
        <w:tabs>
          <w:tab w:val="right" w:pos="6480"/>
        </w:tabs>
        <w:spacing w:line="240" w:lineRule="auto"/>
        <w:ind w:left="2160"/>
      </w:pPr>
      <w:r>
        <w:t>Assistant State Public Defender</w:t>
      </w:r>
    </w:p>
    <w:sectPr w:rsidR="00ED16E0">
      <w:headerReference w:type="even" r:id="rId11"/>
      <w:headerReference w:type="default" r:id="rId12"/>
      <w:footerReference w:type="even" r:id="rId13"/>
      <w:footerReference w:type="default" r:id="rId14"/>
      <w:headerReference w:type="first" r:id="rId15"/>
      <w:footerReference w:type="first" r:id="rId16"/>
      <w:pgSz w:w="12240" w:h="15840"/>
      <w:pgMar w:top="1800" w:right="2880" w:bottom="1800" w:left="2880" w:header="720" w:footer="36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254DA" w14:textId="77777777" w:rsidR="005E3ADC" w:rsidRDefault="005E3ADC">
      <w:pPr>
        <w:spacing w:line="240" w:lineRule="auto"/>
      </w:pPr>
      <w:r>
        <w:separator/>
      </w:r>
    </w:p>
  </w:endnote>
  <w:endnote w:type="continuationSeparator" w:id="0">
    <w:p w14:paraId="3DAEA510" w14:textId="77777777" w:rsidR="005E3ADC" w:rsidRDefault="005E3AD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embedRegular r:id="rId1" w:fontKey="{2DC72F6B-FF66-4B66-817F-35AE289BCC62}"/>
    <w:embedBold r:id="rId2" w:fontKey="{F968D624-5BDA-4A84-BC83-6EE7CB0BF72B}"/>
    <w:embedItalic r:id="rId3" w:fontKey="{7C10A8D8-A59C-4C28-93D3-A93DC69E0D30}"/>
    <w:embedBoldItalic r:id="rId4" w:fontKey="{449867FD-455A-44AE-8EF6-AE1143C81119}"/>
  </w:font>
  <w:font w:name="Cambria">
    <w:panose1 w:val="02040503050406030204"/>
    <w:charset w:val="00"/>
    <w:family w:val="roman"/>
    <w:pitch w:val="variable"/>
    <w:sig w:usb0="E00006FF" w:usb1="420024FF" w:usb2="02000000" w:usb3="00000000" w:csb0="0000019F" w:csb1="00000000"/>
    <w:embedRegular r:id="rId5" w:fontKey="{D186311A-ECB2-4D29-A40B-1267C29DEC73}"/>
    <w:embedItalic r:id="rId6" w:fontKey="{B3ADAEE9-7BE2-4E11-A20B-F3B3FA5E90F8}"/>
  </w:font>
  <w:font w:name="Tahoma">
    <w:panose1 w:val="020B0604030504040204"/>
    <w:charset w:val="00"/>
    <w:family w:val="swiss"/>
    <w:pitch w:val="variable"/>
    <w:sig w:usb0="E1002EFF" w:usb1="C000605B" w:usb2="00000029" w:usb3="00000000" w:csb0="000101FF" w:csb1="00000000"/>
    <w:embedRegular r:id="rId7" w:fontKey="{C65AED63-B542-45DF-8FD7-4587BB4F8377}"/>
  </w:font>
  <w:font w:name="Georgia">
    <w:panose1 w:val="02040502050405020303"/>
    <w:charset w:val="00"/>
    <w:family w:val="roman"/>
    <w:pitch w:val="variable"/>
    <w:sig w:usb0="00000287" w:usb1="00000000" w:usb2="00000000" w:usb3="00000000" w:csb0="0000009F" w:csb1="00000000"/>
    <w:embedItalic r:id="rId8" w:fontKey="{5D7F13E6-86FB-463C-A833-B6B0B8F89E71}"/>
  </w:font>
  <w:font w:name="Calibri">
    <w:panose1 w:val="020F0502020204030204"/>
    <w:charset w:val="00"/>
    <w:family w:val="swiss"/>
    <w:pitch w:val="variable"/>
    <w:sig w:usb0="E4002EFF" w:usb1="C200247B" w:usb2="00000009" w:usb3="00000000" w:csb0="000001FF" w:csb1="00000000"/>
    <w:embedRegular r:id="rId9" w:fontKey="{96FFE9D4-DDAF-4DCF-9133-DDAAEBF141E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B34FA" w14:textId="77777777" w:rsidR="00ED16E0" w:rsidRDefault="00000000">
    <w:pPr>
      <w:pBdr>
        <w:top w:val="nil"/>
        <w:left w:val="nil"/>
        <w:bottom w:val="nil"/>
        <w:right w:val="nil"/>
        <w:between w:val="nil"/>
      </w:pBdr>
      <w:spacing w:before="120"/>
      <w:jc w:val="center"/>
      <w:rPr>
        <w:color w:val="000000"/>
      </w:rPr>
    </w:pPr>
    <w:r>
      <w:rPr>
        <w:color w:val="000000"/>
      </w:rPr>
      <w:t>-</w:t>
    </w:r>
    <w:r>
      <w:rPr>
        <w:color w:val="000000"/>
      </w:rPr>
      <w:fldChar w:fldCharType="begin"/>
    </w:r>
    <w:r>
      <w:rPr>
        <w:color w:val="000000"/>
      </w:rPr>
      <w:instrText>PAGE</w:instrText>
    </w:r>
    <w:r>
      <w:rPr>
        <w:color w:val="000000"/>
      </w:rPr>
      <w:fldChar w:fldCharType="separate"/>
    </w:r>
    <w:r>
      <w:rPr>
        <w:color w:val="000000"/>
      </w:rPr>
      <w:fldChar w:fldCharType="end"/>
    </w:r>
    <w:r>
      <w:rPr>
        <w:color w:val="000000"/>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49F5D" w14:textId="77777777" w:rsidR="00ED16E0" w:rsidRDefault="00000000">
    <w:pPr>
      <w:pBdr>
        <w:top w:val="nil"/>
        <w:left w:val="nil"/>
        <w:bottom w:val="nil"/>
        <w:right w:val="nil"/>
        <w:between w:val="nil"/>
      </w:pBdr>
      <w:spacing w:before="120"/>
      <w:jc w:val="center"/>
      <w:rPr>
        <w:color w:val="000000"/>
      </w:rPr>
    </w:pPr>
    <w:r>
      <w:rPr>
        <w:color w:val="000000"/>
      </w:rPr>
      <w:fldChar w:fldCharType="begin"/>
    </w:r>
    <w:r>
      <w:rPr>
        <w:color w:val="000000"/>
      </w:rPr>
      <w:instrText>PAGE</w:instrText>
    </w:r>
    <w:r>
      <w:rPr>
        <w:color w:val="000000"/>
      </w:rPr>
      <w:fldChar w:fldCharType="separate"/>
    </w:r>
    <w:r w:rsidR="00C56630">
      <w:rPr>
        <w:noProof/>
        <w:color w:val="000000"/>
      </w:rPr>
      <w:t>1</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84F80" w14:textId="77777777" w:rsidR="00ED16E0" w:rsidRDefault="00ED16E0">
    <w:pPr>
      <w:pBdr>
        <w:top w:val="nil"/>
        <w:left w:val="nil"/>
        <w:bottom w:val="nil"/>
        <w:right w:val="nil"/>
        <w:between w:val="nil"/>
      </w:pBdr>
      <w:spacing w:before="120"/>
      <w:jc w:val="center"/>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04ADB" w14:textId="77777777" w:rsidR="00ED16E0" w:rsidRDefault="00000000">
    <w:pPr>
      <w:pBdr>
        <w:top w:val="nil"/>
        <w:left w:val="nil"/>
        <w:bottom w:val="nil"/>
        <w:right w:val="nil"/>
        <w:between w:val="nil"/>
      </w:pBdr>
      <w:spacing w:before="120"/>
      <w:jc w:val="center"/>
      <w:rPr>
        <w:color w:val="000000"/>
      </w:rPr>
    </w:pPr>
    <w:r>
      <w:rPr>
        <w:color w:val="000000"/>
      </w:rPr>
      <w:fldChar w:fldCharType="begin"/>
    </w:r>
    <w:r>
      <w:rPr>
        <w:color w:val="000000"/>
      </w:rPr>
      <w:instrText>PAGE</w:instrText>
    </w:r>
    <w:r>
      <w:rPr>
        <w:color w:val="000000"/>
      </w:rPr>
      <w:fldChar w:fldCharType="separate"/>
    </w:r>
    <w:r w:rsidR="00C56630">
      <w:rPr>
        <w:noProof/>
        <w:color w:val="000000"/>
      </w:rPr>
      <w:t>3</w:t>
    </w:r>
    <w:r>
      <w:rPr>
        <w:color w:val="000000"/>
      </w:rPr>
      <w:fldChar w:fldCharType="end"/>
    </w:r>
  </w:p>
  <w:p w14:paraId="459462B0" w14:textId="77777777" w:rsidR="00ED16E0" w:rsidRDefault="00ED16E0">
    <w:pPr>
      <w:pBdr>
        <w:top w:val="nil"/>
        <w:left w:val="nil"/>
        <w:bottom w:val="nil"/>
        <w:right w:val="nil"/>
        <w:between w:val="nil"/>
      </w:pBdr>
      <w:spacing w:before="120"/>
      <w:jc w:val="center"/>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040A4" w14:textId="77777777" w:rsidR="00ED16E0" w:rsidRDefault="00000000">
    <w:pPr>
      <w:pBdr>
        <w:top w:val="nil"/>
        <w:left w:val="nil"/>
        <w:bottom w:val="nil"/>
        <w:right w:val="nil"/>
        <w:between w:val="nil"/>
      </w:pBdr>
      <w:spacing w:before="120"/>
      <w:jc w:val="center"/>
      <w:rPr>
        <w:color w:val="000000"/>
      </w:rPr>
    </w:pPr>
    <w:r>
      <w:rPr>
        <w:color w:val="000000"/>
      </w:rPr>
      <w:fldChar w:fldCharType="begin"/>
    </w:r>
    <w:r>
      <w:rPr>
        <w:color w:val="000000"/>
      </w:rPr>
      <w:instrText>PAGE</w:instrText>
    </w:r>
    <w:r>
      <w:rPr>
        <w:color w:val="000000"/>
      </w:rPr>
      <w:fldChar w:fldCharType="separate"/>
    </w:r>
    <w:r w:rsidR="00C56630">
      <w:rPr>
        <w:noProof/>
        <w:color w:val="000000"/>
      </w:rPr>
      <w:t>2</w:t>
    </w:r>
    <w:r>
      <w:rPr>
        <w:color w:val="000000"/>
      </w:rPr>
      <w:fldChar w:fldCharType="end"/>
    </w:r>
  </w:p>
  <w:p w14:paraId="2D5CCBC4" w14:textId="77777777" w:rsidR="00ED16E0" w:rsidRDefault="00ED16E0">
    <w:pPr>
      <w:pBdr>
        <w:top w:val="nil"/>
        <w:left w:val="nil"/>
        <w:bottom w:val="nil"/>
        <w:right w:val="nil"/>
        <w:between w:val="nil"/>
      </w:pBdr>
      <w:spacing w:before="120"/>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8E9D9" w14:textId="77777777" w:rsidR="005E3ADC" w:rsidRDefault="005E3ADC">
      <w:pPr>
        <w:spacing w:line="240" w:lineRule="auto"/>
      </w:pPr>
      <w:r>
        <w:separator/>
      </w:r>
    </w:p>
  </w:footnote>
  <w:footnote w:type="continuationSeparator" w:id="0">
    <w:p w14:paraId="471B6AC2" w14:textId="77777777" w:rsidR="005E3ADC" w:rsidRDefault="005E3ADC">
      <w:pPr>
        <w:spacing w:line="240" w:lineRule="auto"/>
      </w:pPr>
      <w:r>
        <w:continuationSeparator/>
      </w:r>
    </w:p>
  </w:footnote>
  <w:footnote w:id="1">
    <w:p w14:paraId="4B6418CF" w14:textId="77777777" w:rsidR="00ED16E0" w:rsidRDefault="00000000">
      <w:pPr>
        <w:spacing w:line="240" w:lineRule="auto"/>
        <w:rPr>
          <w:sz w:val="22"/>
          <w:szCs w:val="22"/>
        </w:rPr>
      </w:pPr>
      <w:r>
        <w:rPr>
          <w:rStyle w:val="FootnoteReference"/>
          <w:vertAlign w:val="superscript"/>
        </w:rPr>
        <w:footnoteRef/>
      </w:r>
      <w:r>
        <w:rPr>
          <w:sz w:val="22"/>
          <w:szCs w:val="22"/>
        </w:rPr>
        <w:t xml:space="preserve"> Wisconsin courts look to federal cases interpreting the Federal Rules of Evidence as persuasive authority where the rules are similar. </w:t>
      </w:r>
      <w:r>
        <w:rPr>
          <w:i/>
          <w:iCs/>
          <w:sz w:val="22"/>
          <w:szCs w:val="22"/>
        </w:rPr>
        <w:t>See State v. Reyes Fuerte</w:t>
      </w:r>
      <w:r>
        <w:rPr>
          <w:sz w:val="22"/>
          <w:szCs w:val="22"/>
        </w:rPr>
        <w:t xml:space="preserve">, 378 Wis. 2d 504 (2017); </w:t>
      </w:r>
      <w:r>
        <w:rPr>
          <w:i/>
          <w:iCs/>
          <w:sz w:val="22"/>
          <w:szCs w:val="22"/>
        </w:rPr>
        <w:t>State v. Evans</w:t>
      </w:r>
      <w:r>
        <w:rPr>
          <w:sz w:val="22"/>
          <w:szCs w:val="22"/>
        </w:rPr>
        <w:t xml:space="preserve">, 238 Wis. 2d 411 (2000); </w:t>
      </w:r>
      <w:r>
        <w:rPr>
          <w:i/>
          <w:iCs/>
          <w:sz w:val="22"/>
          <w:szCs w:val="22"/>
        </w:rPr>
        <w:t>State v. Fettig</w:t>
      </w:r>
      <w:r>
        <w:rPr>
          <w:sz w:val="22"/>
          <w:szCs w:val="22"/>
        </w:rPr>
        <w:t xml:space="preserve">, 172 Wis. 2d 428 (1992); </w:t>
      </w:r>
      <w:r>
        <w:rPr>
          <w:i/>
          <w:iCs/>
          <w:sz w:val="22"/>
          <w:szCs w:val="22"/>
        </w:rPr>
        <w:t>State v. Rogers</w:t>
      </w:r>
      <w:r>
        <w:rPr>
          <w:sz w:val="22"/>
          <w:szCs w:val="22"/>
        </w:rPr>
        <w:t xml:space="preserve">, 196 Wis. 2d 817 (1995); </w:t>
      </w:r>
      <w:r>
        <w:rPr>
          <w:i/>
          <w:iCs/>
          <w:sz w:val="22"/>
          <w:szCs w:val="22"/>
        </w:rPr>
        <w:t>Cuene v. Hilliard</w:t>
      </w:r>
      <w:r>
        <w:rPr>
          <w:sz w:val="22"/>
          <w:szCs w:val="22"/>
        </w:rPr>
        <w:t>, 312 Wis. 2d 506 (2008).</w:t>
      </w:r>
    </w:p>
    <w:p w14:paraId="5A18A87F" w14:textId="77777777" w:rsidR="00ED16E0" w:rsidRDefault="00000000">
      <w:pPr>
        <w:spacing w:line="240" w:lineRule="auto"/>
        <w:rPr>
          <w:sz w:val="22"/>
          <w:szCs w:val="22"/>
        </w:rPr>
      </w:pPr>
      <w:r>
        <w:rPr>
          <w:sz w:val="22"/>
          <w:szCs w:val="22"/>
        </w:rPr>
        <w:br/>
        <w:t xml:space="preserve">Wisconsin's "erroneous exercise of discretion" standard is analogous to the federal "abuse of discretion" standard for reviewing evidentiary rulings. </w:t>
      </w:r>
      <w:r>
        <w:rPr>
          <w:i/>
          <w:iCs/>
          <w:sz w:val="22"/>
          <w:szCs w:val="22"/>
        </w:rPr>
        <w:t>Seifert v. Balink</w:t>
      </w:r>
      <w:r>
        <w:rPr>
          <w:sz w:val="22"/>
          <w:szCs w:val="22"/>
        </w:rPr>
        <w:t>, 2017 WI 2, ¶93 n.50, 372 Wis. 2d 525, 888 N.W.2d 816 ("The two phrases are equivalent.")</w:t>
      </w:r>
    </w:p>
  </w:footnote>
  <w:footnote w:id="2">
    <w:p w14:paraId="7F04EE2B" w14:textId="77777777" w:rsidR="004F700A" w:rsidRDefault="00000000">
      <w:pPr>
        <w:spacing w:line="240" w:lineRule="auto"/>
        <w:rPr>
          <w:sz w:val="22"/>
          <w:szCs w:val="22"/>
        </w:rPr>
      </w:pPr>
      <w:r>
        <w:rPr>
          <w:rStyle w:val="FootnoteReference"/>
          <w:vertAlign w:val="superscript"/>
        </w:rPr>
        <w:footnoteRef/>
      </w:r>
      <w:r>
        <w:rPr>
          <w:sz w:val="22"/>
          <w:szCs w:val="22"/>
        </w:rPr>
        <w:t xml:space="preserve"> The district attorney holds exclusive authority to request immunity, but that authority is not completely unfettered. </w:t>
      </w:r>
      <w:r>
        <w:rPr>
          <w:i/>
          <w:iCs/>
          <w:sz w:val="22"/>
          <w:szCs w:val="22"/>
        </w:rPr>
        <w:t>Peters v. State</w:t>
      </w:r>
      <w:r>
        <w:rPr>
          <w:sz w:val="22"/>
          <w:szCs w:val="22"/>
        </w:rPr>
        <w:t xml:space="preserve"> instructs that the prosecutor “should not hesitate to move for immunity solely on the ground that the testimony thus elicited might exonerate the defendant.” 70 Wis. 2d 22, 40–41, 233 N.W.2d 420 (1975). </w:t>
      </w:r>
      <w:r>
        <w:rPr>
          <w:i/>
          <w:iCs/>
          <w:sz w:val="22"/>
          <w:szCs w:val="22"/>
        </w:rPr>
        <w:t>State v. Evers</w:t>
      </w:r>
      <w:r>
        <w:rPr>
          <w:sz w:val="22"/>
          <w:szCs w:val="22"/>
        </w:rPr>
        <w:t xml:space="preserve"> holds that the one-sided nature of that power does not, standing alone, violate due process, but a defendant may demonstrate an abuse of prosecutorial discretion by making “a substantial evidentiary showing that the government intended to distort the judicial fact-finding process.” 163 Wis. 2d 725, 737–38, 472 N.W.2d 828 (Ct. App. 1991) (citing </w:t>
      </w:r>
      <w:r>
        <w:rPr>
          <w:i/>
          <w:iCs/>
          <w:sz w:val="22"/>
          <w:szCs w:val="22"/>
        </w:rPr>
        <w:t>Stuart v. Gagnon</w:t>
      </w:r>
      <w:r>
        <w:rPr>
          <w:sz w:val="22"/>
          <w:szCs w:val="22"/>
        </w:rPr>
        <w:t>, 614 F. Supp. 247 (E.D. Wis. 1985)).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4CA1D" w14:textId="77777777" w:rsidR="00ED16E0" w:rsidRDefault="00ED16E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86B72" w14:textId="77777777" w:rsidR="00ED16E0" w:rsidRDefault="00ED16E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E1A49" w14:textId="77777777" w:rsidR="00ED16E0" w:rsidRDefault="00ED16E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3766"/>
    <w:multiLevelType w:val="multilevel"/>
    <w:tmpl w:val="1E60887E"/>
    <w:lvl w:ilvl="0">
      <w:start w:val="1"/>
      <w:numFmt w:val="decimal"/>
      <w:lvlText w:val="%1"/>
      <w:lvlJc w:val="center"/>
      <w:pPr>
        <w:ind w:left="0" w:firstLine="0"/>
      </w:pPr>
    </w:lvl>
    <w:lvl w:ilvl="1">
      <w:start w:val="1"/>
      <w:numFmt w:val="upperRoman"/>
      <w:lvlText w:val="%2."/>
      <w:lvlJc w:val="left"/>
      <w:pPr>
        <w:ind w:left="720" w:hanging="720"/>
      </w:pPr>
      <w:rPr>
        <w:b/>
        <w:bCs/>
        <w:i w:val="0"/>
        <w:iCs w:val="0"/>
      </w:rPr>
    </w:lvl>
    <w:lvl w:ilvl="2">
      <w:start w:val="1"/>
      <w:numFmt w:val="upperLetter"/>
      <w:lvlText w:val="%3."/>
      <w:lvlJc w:val="left"/>
      <w:pPr>
        <w:ind w:left="1440" w:hanging="720"/>
      </w:pPr>
      <w:rPr>
        <w:b w:val="0"/>
        <w:bCs w:val="0"/>
        <w:i w:val="0"/>
        <w:iCs w:val="0"/>
      </w:rPr>
    </w:lvl>
    <w:lvl w:ilvl="3">
      <w:start w:val="1"/>
      <w:numFmt w:val="decimal"/>
      <w:lvlText w:val="%4."/>
      <w:lvlJc w:val="left"/>
      <w:pPr>
        <w:ind w:left="1440" w:hanging="360"/>
      </w:pPr>
      <w:rPr>
        <w:i w:val="0"/>
        <w:iCs w:val="0"/>
      </w:rPr>
    </w:lvl>
    <w:lvl w:ilvl="4">
      <w:start w:val="1"/>
      <w:numFmt w:val="lowerLetter"/>
      <w:lvlText w:val="%5."/>
      <w:lvlJc w:val="left"/>
      <w:pPr>
        <w:ind w:left="1800" w:hanging="360"/>
      </w:pPr>
      <w:rPr>
        <w:b w:val="0"/>
        <w:bCs w:val="0"/>
        <w:i w:val="0"/>
        <w:iCs w:val="0"/>
        <w:smallCaps w:val="0"/>
        <w:strike w:val="0"/>
        <w:u w:val="none"/>
        <w:vertAlign w:val="baseline"/>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7920" w:hanging="720"/>
      </w:pPr>
    </w:lvl>
  </w:abstractNum>
  <w:abstractNum w:abstractNumId="1" w15:restartNumberingAfterBreak="0">
    <w:nsid w:val="10512AC5"/>
    <w:multiLevelType w:val="multilevel"/>
    <w:tmpl w:val="12385DBE"/>
    <w:lvl w:ilvl="0">
      <w:start w:val="1"/>
      <w:numFmt w:val="decimal"/>
      <w:lvlText w:val="%1"/>
      <w:lvlJc w:val="center"/>
      <w:pPr>
        <w:ind w:left="0" w:firstLine="0"/>
      </w:pPr>
    </w:lvl>
    <w:lvl w:ilvl="1">
      <w:start w:val="1"/>
      <w:numFmt w:val="upperRoman"/>
      <w:lvlText w:val="%2."/>
      <w:lvlJc w:val="left"/>
      <w:pPr>
        <w:ind w:left="720" w:hanging="720"/>
      </w:pPr>
      <w:rPr>
        <w:b/>
        <w:bCs/>
        <w:i w:val="0"/>
        <w:iCs w:val="0"/>
      </w:rPr>
    </w:lvl>
    <w:lvl w:ilvl="2">
      <w:start w:val="1"/>
      <w:numFmt w:val="upperLetter"/>
      <w:lvlText w:val="%3."/>
      <w:lvlJc w:val="left"/>
      <w:pPr>
        <w:ind w:left="1440" w:hanging="720"/>
      </w:pPr>
      <w:rPr>
        <w:b w:val="0"/>
        <w:bCs w:val="0"/>
        <w:i w:val="0"/>
        <w:iCs w:val="0"/>
      </w:rPr>
    </w:lvl>
    <w:lvl w:ilvl="3">
      <w:start w:val="1"/>
      <w:numFmt w:val="decimal"/>
      <w:lvlText w:val="%4."/>
      <w:lvlJc w:val="left"/>
      <w:pPr>
        <w:ind w:left="1440" w:hanging="360"/>
      </w:pPr>
      <w:rPr>
        <w:i w:val="0"/>
        <w:iCs w:val="0"/>
      </w:rPr>
    </w:lvl>
    <w:lvl w:ilvl="4">
      <w:start w:val="1"/>
      <w:numFmt w:val="lowerLetter"/>
      <w:lvlText w:val="%5."/>
      <w:lvlJc w:val="left"/>
      <w:pPr>
        <w:ind w:left="1800" w:hanging="360"/>
      </w:pPr>
      <w:rPr>
        <w:b w:val="0"/>
        <w:bCs w:val="0"/>
        <w:i w:val="0"/>
        <w:iCs w:val="0"/>
        <w:smallCaps w:val="0"/>
        <w:strike w:val="0"/>
        <w:u w:val="none"/>
        <w:vertAlign w:val="baseline"/>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7920" w:hanging="720"/>
      </w:pPr>
    </w:lvl>
  </w:abstractNum>
  <w:abstractNum w:abstractNumId="2" w15:restartNumberingAfterBreak="0">
    <w:nsid w:val="23E539D3"/>
    <w:multiLevelType w:val="multilevel"/>
    <w:tmpl w:val="2B5A7892"/>
    <w:lvl w:ilvl="0">
      <w:start w:val="1"/>
      <w:numFmt w:val="decimal"/>
      <w:lvlText w:val="%1"/>
      <w:lvlJc w:val="center"/>
      <w:pPr>
        <w:ind w:left="0" w:firstLine="0"/>
      </w:pPr>
    </w:lvl>
    <w:lvl w:ilvl="1">
      <w:start w:val="1"/>
      <w:numFmt w:val="upperRoman"/>
      <w:lvlText w:val="%2."/>
      <w:lvlJc w:val="left"/>
      <w:pPr>
        <w:ind w:left="720" w:hanging="720"/>
      </w:pPr>
      <w:rPr>
        <w:b/>
        <w:bCs/>
        <w:i w:val="0"/>
        <w:iCs w:val="0"/>
      </w:rPr>
    </w:lvl>
    <w:lvl w:ilvl="2">
      <w:start w:val="1"/>
      <w:numFmt w:val="upperLetter"/>
      <w:lvlText w:val="%3."/>
      <w:lvlJc w:val="left"/>
      <w:pPr>
        <w:ind w:left="1440" w:hanging="720"/>
      </w:pPr>
      <w:rPr>
        <w:b w:val="0"/>
        <w:bCs w:val="0"/>
        <w:i w:val="0"/>
        <w:iCs w:val="0"/>
      </w:rPr>
    </w:lvl>
    <w:lvl w:ilvl="3">
      <w:start w:val="1"/>
      <w:numFmt w:val="decimal"/>
      <w:lvlText w:val="%4."/>
      <w:lvlJc w:val="left"/>
      <w:pPr>
        <w:ind w:left="1440" w:hanging="360"/>
      </w:pPr>
      <w:rPr>
        <w:i w:val="0"/>
        <w:iCs w:val="0"/>
      </w:rPr>
    </w:lvl>
    <w:lvl w:ilvl="4">
      <w:start w:val="1"/>
      <w:numFmt w:val="lowerLetter"/>
      <w:lvlText w:val="%5."/>
      <w:lvlJc w:val="left"/>
      <w:pPr>
        <w:ind w:left="1800" w:hanging="360"/>
      </w:pPr>
      <w:rPr>
        <w:b w:val="0"/>
        <w:bCs w:val="0"/>
        <w:i w:val="0"/>
        <w:iCs w:val="0"/>
        <w:smallCaps w:val="0"/>
        <w:strike w:val="0"/>
        <w:u w:val="none"/>
        <w:vertAlign w:val="baseline"/>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7920" w:hanging="720"/>
      </w:pPr>
    </w:lvl>
  </w:abstractNum>
  <w:abstractNum w:abstractNumId="3" w15:restartNumberingAfterBreak="0">
    <w:nsid w:val="2FA87BA4"/>
    <w:multiLevelType w:val="multilevel"/>
    <w:tmpl w:val="2594256E"/>
    <w:lvl w:ilvl="0">
      <w:start w:val="1"/>
      <w:numFmt w:val="decimal"/>
      <w:lvlText w:val="%1"/>
      <w:lvlJc w:val="center"/>
      <w:pPr>
        <w:ind w:left="0" w:firstLine="0"/>
      </w:pPr>
    </w:lvl>
    <w:lvl w:ilvl="1">
      <w:start w:val="1"/>
      <w:numFmt w:val="upperRoman"/>
      <w:lvlText w:val="%2."/>
      <w:lvlJc w:val="left"/>
      <w:pPr>
        <w:ind w:left="720" w:hanging="720"/>
      </w:pPr>
      <w:rPr>
        <w:b/>
        <w:bCs/>
        <w:i w:val="0"/>
        <w:iCs w:val="0"/>
      </w:rPr>
    </w:lvl>
    <w:lvl w:ilvl="2">
      <w:start w:val="1"/>
      <w:numFmt w:val="upperLetter"/>
      <w:lvlText w:val="%3."/>
      <w:lvlJc w:val="left"/>
      <w:pPr>
        <w:ind w:left="1440" w:hanging="720"/>
      </w:pPr>
      <w:rPr>
        <w:b w:val="0"/>
        <w:bCs w:val="0"/>
        <w:i w:val="0"/>
        <w:iCs w:val="0"/>
      </w:rPr>
    </w:lvl>
    <w:lvl w:ilvl="3">
      <w:start w:val="1"/>
      <w:numFmt w:val="decimal"/>
      <w:lvlText w:val="%4."/>
      <w:lvlJc w:val="left"/>
      <w:pPr>
        <w:ind w:left="1440" w:hanging="360"/>
      </w:pPr>
      <w:rPr>
        <w:i w:val="0"/>
        <w:iCs w:val="0"/>
      </w:rPr>
    </w:lvl>
    <w:lvl w:ilvl="4">
      <w:start w:val="1"/>
      <w:numFmt w:val="lowerLetter"/>
      <w:lvlText w:val="%5."/>
      <w:lvlJc w:val="left"/>
      <w:pPr>
        <w:ind w:left="1800" w:hanging="360"/>
      </w:pPr>
      <w:rPr>
        <w:b w:val="0"/>
        <w:bCs w:val="0"/>
        <w:i w:val="0"/>
        <w:iCs w:val="0"/>
        <w:smallCaps w:val="0"/>
        <w:strike w:val="0"/>
        <w:u w:val="none"/>
        <w:vertAlign w:val="baseline"/>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7920" w:hanging="720"/>
      </w:pPr>
    </w:lvl>
  </w:abstractNum>
  <w:abstractNum w:abstractNumId="4" w15:restartNumberingAfterBreak="0">
    <w:nsid w:val="30590997"/>
    <w:multiLevelType w:val="multilevel"/>
    <w:tmpl w:val="24D8F794"/>
    <w:lvl w:ilvl="0">
      <w:start w:val="1"/>
      <w:numFmt w:val="decimal"/>
      <w:lvlText w:val="%1"/>
      <w:lvlJc w:val="center"/>
      <w:pPr>
        <w:ind w:left="0" w:firstLine="0"/>
      </w:pPr>
    </w:lvl>
    <w:lvl w:ilvl="1">
      <w:start w:val="1"/>
      <w:numFmt w:val="upperRoman"/>
      <w:lvlText w:val="%2."/>
      <w:lvlJc w:val="left"/>
      <w:pPr>
        <w:ind w:left="720" w:hanging="720"/>
      </w:pPr>
      <w:rPr>
        <w:b/>
        <w:bCs/>
        <w:i w:val="0"/>
        <w:iCs w:val="0"/>
      </w:rPr>
    </w:lvl>
    <w:lvl w:ilvl="2">
      <w:start w:val="1"/>
      <w:numFmt w:val="upperLetter"/>
      <w:lvlText w:val="%3."/>
      <w:lvlJc w:val="left"/>
      <w:pPr>
        <w:ind w:left="1440" w:hanging="720"/>
      </w:pPr>
      <w:rPr>
        <w:b w:val="0"/>
        <w:bCs w:val="0"/>
        <w:i w:val="0"/>
        <w:iCs w:val="0"/>
      </w:rPr>
    </w:lvl>
    <w:lvl w:ilvl="3">
      <w:start w:val="1"/>
      <w:numFmt w:val="decimal"/>
      <w:lvlText w:val="%4."/>
      <w:lvlJc w:val="left"/>
      <w:pPr>
        <w:ind w:left="1440" w:hanging="360"/>
      </w:pPr>
      <w:rPr>
        <w:i w:val="0"/>
        <w:iCs w:val="0"/>
      </w:rPr>
    </w:lvl>
    <w:lvl w:ilvl="4">
      <w:start w:val="1"/>
      <w:numFmt w:val="lowerLetter"/>
      <w:lvlText w:val="%5."/>
      <w:lvlJc w:val="left"/>
      <w:pPr>
        <w:ind w:left="1800" w:hanging="360"/>
      </w:pPr>
      <w:rPr>
        <w:b w:val="0"/>
        <w:bCs w:val="0"/>
        <w:i w:val="0"/>
        <w:iCs w:val="0"/>
        <w:smallCaps w:val="0"/>
        <w:strike w:val="0"/>
        <w:u w:val="none"/>
        <w:vertAlign w:val="baseline"/>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7920" w:hanging="720"/>
      </w:pPr>
    </w:lvl>
  </w:abstractNum>
  <w:abstractNum w:abstractNumId="5" w15:restartNumberingAfterBreak="0">
    <w:nsid w:val="58405D97"/>
    <w:multiLevelType w:val="multilevel"/>
    <w:tmpl w:val="840426EC"/>
    <w:lvl w:ilvl="0">
      <w:start w:val="1"/>
      <w:numFmt w:val="decimal"/>
      <w:lvlText w:val="%1"/>
      <w:lvlJc w:val="center"/>
      <w:pPr>
        <w:ind w:left="0" w:firstLine="0"/>
      </w:pPr>
    </w:lvl>
    <w:lvl w:ilvl="1">
      <w:start w:val="1"/>
      <w:numFmt w:val="upperRoman"/>
      <w:lvlText w:val="%2."/>
      <w:lvlJc w:val="left"/>
      <w:pPr>
        <w:ind w:left="720" w:hanging="720"/>
      </w:pPr>
      <w:rPr>
        <w:b/>
        <w:bCs/>
        <w:i w:val="0"/>
        <w:iCs w:val="0"/>
      </w:rPr>
    </w:lvl>
    <w:lvl w:ilvl="2">
      <w:start w:val="1"/>
      <w:numFmt w:val="upperLetter"/>
      <w:lvlText w:val="%3."/>
      <w:lvlJc w:val="left"/>
      <w:pPr>
        <w:ind w:left="1440" w:hanging="720"/>
      </w:pPr>
      <w:rPr>
        <w:b w:val="0"/>
        <w:bCs w:val="0"/>
        <w:i w:val="0"/>
        <w:iCs w:val="0"/>
      </w:rPr>
    </w:lvl>
    <w:lvl w:ilvl="3">
      <w:start w:val="1"/>
      <w:numFmt w:val="decimal"/>
      <w:lvlText w:val="%4."/>
      <w:lvlJc w:val="left"/>
      <w:pPr>
        <w:ind w:left="1440" w:hanging="360"/>
      </w:pPr>
      <w:rPr>
        <w:i w:val="0"/>
        <w:iCs w:val="0"/>
      </w:rPr>
    </w:lvl>
    <w:lvl w:ilvl="4">
      <w:start w:val="1"/>
      <w:numFmt w:val="lowerLetter"/>
      <w:lvlText w:val="%5."/>
      <w:lvlJc w:val="left"/>
      <w:pPr>
        <w:ind w:left="1800" w:hanging="360"/>
      </w:pPr>
      <w:rPr>
        <w:b w:val="0"/>
        <w:bCs w:val="0"/>
        <w:i w:val="0"/>
        <w:iCs w:val="0"/>
        <w:smallCaps w:val="0"/>
        <w:strike w:val="0"/>
        <w:u w:val="none"/>
        <w:vertAlign w:val="baseline"/>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7920" w:hanging="720"/>
      </w:pPr>
    </w:lvl>
  </w:abstractNum>
  <w:abstractNum w:abstractNumId="6" w15:restartNumberingAfterBreak="0">
    <w:nsid w:val="7EB40BD4"/>
    <w:multiLevelType w:val="multilevel"/>
    <w:tmpl w:val="EC36952A"/>
    <w:lvl w:ilvl="0">
      <w:start w:val="1"/>
      <w:numFmt w:val="decimal"/>
      <w:lvlText w:val="%1"/>
      <w:lvlJc w:val="center"/>
      <w:pPr>
        <w:ind w:left="0" w:firstLine="0"/>
      </w:pPr>
    </w:lvl>
    <w:lvl w:ilvl="1">
      <w:start w:val="1"/>
      <w:numFmt w:val="upperRoman"/>
      <w:lvlText w:val="%2."/>
      <w:lvlJc w:val="left"/>
      <w:pPr>
        <w:ind w:left="720" w:hanging="720"/>
      </w:pPr>
      <w:rPr>
        <w:b/>
        <w:bCs/>
        <w:i w:val="0"/>
        <w:iCs w:val="0"/>
      </w:rPr>
    </w:lvl>
    <w:lvl w:ilvl="2">
      <w:start w:val="1"/>
      <w:numFmt w:val="upperLetter"/>
      <w:lvlText w:val="%3."/>
      <w:lvlJc w:val="left"/>
      <w:pPr>
        <w:ind w:left="1440" w:hanging="720"/>
      </w:pPr>
      <w:rPr>
        <w:b w:val="0"/>
        <w:bCs w:val="0"/>
        <w:i w:val="0"/>
        <w:iCs w:val="0"/>
      </w:rPr>
    </w:lvl>
    <w:lvl w:ilvl="3">
      <w:start w:val="1"/>
      <w:numFmt w:val="decimal"/>
      <w:lvlText w:val="%4."/>
      <w:lvlJc w:val="left"/>
      <w:pPr>
        <w:ind w:left="1440" w:hanging="360"/>
      </w:pPr>
      <w:rPr>
        <w:i w:val="0"/>
        <w:iCs w:val="0"/>
      </w:rPr>
    </w:lvl>
    <w:lvl w:ilvl="4">
      <w:start w:val="1"/>
      <w:numFmt w:val="lowerLetter"/>
      <w:lvlText w:val="%5."/>
      <w:lvlJc w:val="left"/>
      <w:pPr>
        <w:ind w:left="1800" w:hanging="360"/>
      </w:pPr>
      <w:rPr>
        <w:b w:val="0"/>
        <w:bCs w:val="0"/>
        <w:i w:val="0"/>
        <w:iCs w:val="0"/>
        <w:smallCaps w:val="0"/>
        <w:strike w:val="0"/>
        <w:u w:val="none"/>
        <w:vertAlign w:val="baseline"/>
      </w:rPr>
    </w:lvl>
    <w:lvl w:ilvl="5">
      <w:start w:val="1"/>
      <w:numFmt w:val="lowerRoman"/>
      <w:lvlText w:val="%6."/>
      <w:lvlJc w:val="left"/>
      <w:pPr>
        <w:ind w:left="2160" w:hanging="360"/>
      </w:pPr>
    </w:lvl>
    <w:lvl w:ilvl="6">
      <w:start w:val="1"/>
      <w:numFmt w:val="decimal"/>
      <w:pStyle w:val="Heading7"/>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7920" w:hanging="720"/>
      </w:pPr>
    </w:lvl>
  </w:abstractNum>
  <w:num w:numId="1" w16cid:durableId="2117600162">
    <w:abstractNumId w:val="2"/>
  </w:num>
  <w:num w:numId="2" w16cid:durableId="1237059069">
    <w:abstractNumId w:val="5"/>
  </w:num>
  <w:num w:numId="3" w16cid:durableId="367993941">
    <w:abstractNumId w:val="0"/>
  </w:num>
  <w:num w:numId="4" w16cid:durableId="1998413351">
    <w:abstractNumId w:val="1"/>
  </w:num>
  <w:num w:numId="5" w16cid:durableId="1478262561">
    <w:abstractNumId w:val="4"/>
  </w:num>
  <w:num w:numId="6" w16cid:durableId="1150243739">
    <w:abstractNumId w:val="3"/>
  </w:num>
  <w:num w:numId="7" w16cid:durableId="5217484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6E0"/>
    <w:rsid w:val="00015466"/>
    <w:rsid w:val="00057557"/>
    <w:rsid w:val="00060926"/>
    <w:rsid w:val="00074B7E"/>
    <w:rsid w:val="00086BD0"/>
    <w:rsid w:val="000A2626"/>
    <w:rsid w:val="000E3ACC"/>
    <w:rsid w:val="00142ACE"/>
    <w:rsid w:val="00151478"/>
    <w:rsid w:val="00154FB4"/>
    <w:rsid w:val="001919B4"/>
    <w:rsid w:val="001B20BB"/>
    <w:rsid w:val="001C46D1"/>
    <w:rsid w:val="001C5077"/>
    <w:rsid w:val="00206FF8"/>
    <w:rsid w:val="002613EB"/>
    <w:rsid w:val="002A0B26"/>
    <w:rsid w:val="002A2DF4"/>
    <w:rsid w:val="002B6650"/>
    <w:rsid w:val="002E60CD"/>
    <w:rsid w:val="002F035C"/>
    <w:rsid w:val="003C4EA0"/>
    <w:rsid w:val="0040200D"/>
    <w:rsid w:val="004031F6"/>
    <w:rsid w:val="004209A9"/>
    <w:rsid w:val="004554FA"/>
    <w:rsid w:val="004B3B5C"/>
    <w:rsid w:val="004C4819"/>
    <w:rsid w:val="004F47DF"/>
    <w:rsid w:val="004F700A"/>
    <w:rsid w:val="00506C35"/>
    <w:rsid w:val="0050755A"/>
    <w:rsid w:val="005B6282"/>
    <w:rsid w:val="005E3ADC"/>
    <w:rsid w:val="0061433C"/>
    <w:rsid w:val="006244FC"/>
    <w:rsid w:val="00635B4A"/>
    <w:rsid w:val="00640C13"/>
    <w:rsid w:val="0066353C"/>
    <w:rsid w:val="00673139"/>
    <w:rsid w:val="006B43F3"/>
    <w:rsid w:val="0075538A"/>
    <w:rsid w:val="007A7DF9"/>
    <w:rsid w:val="008232DE"/>
    <w:rsid w:val="00831EEE"/>
    <w:rsid w:val="00887A4D"/>
    <w:rsid w:val="008F2724"/>
    <w:rsid w:val="00901D83"/>
    <w:rsid w:val="00917521"/>
    <w:rsid w:val="009368D7"/>
    <w:rsid w:val="00947239"/>
    <w:rsid w:val="00957260"/>
    <w:rsid w:val="00976E49"/>
    <w:rsid w:val="00A031A3"/>
    <w:rsid w:val="00A120EE"/>
    <w:rsid w:val="00A425DB"/>
    <w:rsid w:val="00A5634E"/>
    <w:rsid w:val="00A6543F"/>
    <w:rsid w:val="00AB32C8"/>
    <w:rsid w:val="00AC1209"/>
    <w:rsid w:val="00B14A24"/>
    <w:rsid w:val="00B34418"/>
    <w:rsid w:val="00BD2AE9"/>
    <w:rsid w:val="00BD545E"/>
    <w:rsid w:val="00BE14B1"/>
    <w:rsid w:val="00BE28D2"/>
    <w:rsid w:val="00C56630"/>
    <w:rsid w:val="00C66C01"/>
    <w:rsid w:val="00C85155"/>
    <w:rsid w:val="00CE7E9A"/>
    <w:rsid w:val="00D271B5"/>
    <w:rsid w:val="00D3518A"/>
    <w:rsid w:val="00D72FC6"/>
    <w:rsid w:val="00DC4A1D"/>
    <w:rsid w:val="00DF5762"/>
    <w:rsid w:val="00E01EF6"/>
    <w:rsid w:val="00E215BB"/>
    <w:rsid w:val="00E66623"/>
    <w:rsid w:val="00E80F68"/>
    <w:rsid w:val="00E832F4"/>
    <w:rsid w:val="00EA12DC"/>
    <w:rsid w:val="00ED16E0"/>
    <w:rsid w:val="00EE764A"/>
    <w:rsid w:val="00EF00BE"/>
    <w:rsid w:val="00F877EA"/>
    <w:rsid w:val="00FA6AE9"/>
    <w:rsid w:val="00FE78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668A7"/>
  <w15:docId w15:val="{2AF61E49-E11E-46F4-B842-BEB474056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Schoolbook" w:eastAsia="Century Schoolbook" w:hAnsi="Century Schoolbook" w:cs="Century Schoolbook"/>
        <w:sz w:val="26"/>
        <w:szCs w:val="26"/>
        <w:lang w:val="en" w:eastAsia="en-US" w:bidi="ar-SA"/>
      </w:rPr>
    </w:rPrDefault>
    <w:pPrDefault>
      <w:pPr>
        <w:spacing w:line="34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widowControl w:val="0"/>
      <w:pBdr>
        <w:top w:val="nil"/>
        <w:left w:val="nil"/>
        <w:bottom w:val="nil"/>
        <w:right w:val="nil"/>
        <w:between w:val="nil"/>
      </w:pBdr>
      <w:spacing w:before="480"/>
      <w:jc w:val="center"/>
      <w:outlineLvl w:val="0"/>
    </w:pPr>
    <w:rPr>
      <w:b/>
      <w:bCs/>
      <w:smallCaps/>
      <w:color w:val="000000"/>
    </w:rPr>
  </w:style>
  <w:style w:type="paragraph" w:styleId="Heading2">
    <w:name w:val="heading 2"/>
    <w:basedOn w:val="Normal"/>
    <w:next w:val="Normal"/>
    <w:link w:val="Heading2Char"/>
    <w:uiPriority w:val="9"/>
    <w:unhideWhenUsed/>
    <w:qFormat/>
    <w:pPr>
      <w:widowControl w:val="0"/>
      <w:pBdr>
        <w:top w:val="nil"/>
        <w:left w:val="nil"/>
        <w:bottom w:val="nil"/>
        <w:right w:val="nil"/>
        <w:between w:val="nil"/>
      </w:pBdr>
      <w:spacing w:before="240"/>
      <w:ind w:left="720" w:hanging="720"/>
      <w:outlineLvl w:val="1"/>
    </w:pPr>
    <w:rPr>
      <w:b/>
      <w:bCs/>
      <w:color w:val="000000"/>
    </w:rPr>
  </w:style>
  <w:style w:type="paragraph" w:styleId="Heading3">
    <w:name w:val="heading 3"/>
    <w:basedOn w:val="Normal"/>
    <w:next w:val="Normal"/>
    <w:link w:val="Heading3Char"/>
    <w:uiPriority w:val="9"/>
    <w:unhideWhenUsed/>
    <w:qFormat/>
    <w:pPr>
      <w:widowControl w:val="0"/>
      <w:pBdr>
        <w:top w:val="nil"/>
        <w:left w:val="nil"/>
        <w:bottom w:val="nil"/>
        <w:right w:val="nil"/>
        <w:between w:val="nil"/>
      </w:pBdr>
      <w:spacing w:before="240"/>
      <w:ind w:left="1440" w:hanging="720"/>
      <w:outlineLvl w:val="2"/>
    </w:pPr>
    <w:rPr>
      <w:color w:val="000000"/>
    </w:rPr>
  </w:style>
  <w:style w:type="paragraph" w:styleId="Heading4">
    <w:name w:val="heading 4"/>
    <w:basedOn w:val="Normal"/>
    <w:next w:val="Normal"/>
    <w:link w:val="Heading4Char"/>
    <w:uiPriority w:val="9"/>
    <w:unhideWhenUsed/>
    <w:qFormat/>
    <w:pPr>
      <w:widowControl w:val="0"/>
      <w:pBdr>
        <w:top w:val="nil"/>
        <w:left w:val="nil"/>
        <w:bottom w:val="nil"/>
        <w:right w:val="nil"/>
        <w:between w:val="nil"/>
      </w:pBdr>
      <w:spacing w:before="240"/>
      <w:ind w:left="1800" w:hanging="1080"/>
      <w:outlineLvl w:val="3"/>
    </w:pPr>
    <w:rPr>
      <w:color w:val="000000"/>
    </w:rPr>
  </w:style>
  <w:style w:type="paragraph" w:styleId="Heading5">
    <w:name w:val="heading 5"/>
    <w:basedOn w:val="Normal"/>
    <w:next w:val="Normal"/>
    <w:link w:val="Heading5Char"/>
    <w:uiPriority w:val="9"/>
    <w:semiHidden/>
    <w:unhideWhenUsed/>
    <w:qFormat/>
    <w:pPr>
      <w:widowControl w:val="0"/>
      <w:pBdr>
        <w:top w:val="nil"/>
        <w:left w:val="nil"/>
        <w:bottom w:val="nil"/>
        <w:right w:val="nil"/>
        <w:between w:val="nil"/>
      </w:pBdr>
      <w:tabs>
        <w:tab w:val="left" w:pos="2340"/>
      </w:tabs>
      <w:spacing w:before="240"/>
      <w:ind w:left="2160" w:hanging="1440"/>
      <w:outlineLvl w:val="4"/>
    </w:pPr>
    <w:rPr>
      <w:color w:val="000000"/>
    </w:rPr>
  </w:style>
  <w:style w:type="paragraph" w:styleId="Heading6">
    <w:name w:val="heading 6"/>
    <w:basedOn w:val="Normal"/>
    <w:next w:val="Normal"/>
    <w:link w:val="Heading6Char"/>
    <w:uiPriority w:val="9"/>
    <w:semiHidden/>
    <w:unhideWhenUsed/>
    <w:qFormat/>
    <w:pPr>
      <w:keepNext/>
      <w:keepLines/>
      <w:outlineLvl w:val="5"/>
    </w:pPr>
    <w:rPr>
      <w:rFonts w:ascii="Cambria" w:eastAsia="Cambria" w:hAnsi="Cambria" w:cs="Cambria"/>
      <w:i/>
      <w:iCs/>
      <w:color w:val="243F61"/>
    </w:rPr>
  </w:style>
  <w:style w:type="paragraph" w:styleId="Heading7">
    <w:name w:val="heading 7"/>
    <w:basedOn w:val="Normal"/>
    <w:next w:val="Normal"/>
    <w:qFormat/>
    <w:rsid w:val="008708FE"/>
    <w:pPr>
      <w:numPr>
        <w:ilvl w:val="6"/>
        <w:numId w:val="7"/>
      </w:numPr>
      <w:spacing w:before="240" w:after="60"/>
      <w:outlineLvl w:val="6"/>
    </w:pPr>
    <w:rPr>
      <w:sz w:val="24"/>
      <w:szCs w:val="24"/>
    </w:rPr>
  </w:style>
  <w:style w:type="paragraph" w:styleId="Heading8">
    <w:name w:val="heading 8"/>
    <w:basedOn w:val="Normal"/>
    <w:next w:val="Normal"/>
    <w:link w:val="Heading8Char"/>
    <w:uiPriority w:val="9"/>
    <w:semiHidden/>
    <w:unhideWhenUsed/>
    <w:qFormat/>
    <w:rsid w:val="005D5537"/>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rsid w:val="008708FE"/>
    <w:p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2">
    <w:name w:val="TableNormal2"/>
    <w:tblPr>
      <w:tblCellMar>
        <w:top w:w="100" w:type="dxa"/>
        <w:left w:w="100" w:type="dxa"/>
        <w:bottom w:w="100" w:type="dxa"/>
        <w:right w:w="100" w:type="dxa"/>
      </w:tblCellMar>
    </w:tblPr>
  </w:style>
  <w:style w:type="table" w:customStyle="1" w:styleId="TableNormal1">
    <w:name w:val="TableNormal1"/>
    <w:tblPr>
      <w:tblCellMar>
        <w:top w:w="100" w:type="dxa"/>
        <w:left w:w="100" w:type="dxa"/>
        <w:bottom w:w="100" w:type="dxa"/>
        <w:right w:w="100" w:type="dxa"/>
      </w:tblCellMar>
    </w:tblPr>
  </w:style>
  <w:style w:type="character" w:styleId="FootnoteReference">
    <w:name w:val="footnote reference"/>
    <w:semiHidden/>
    <w:rsid w:val="00D76C68"/>
    <w:rPr>
      <w:rFonts w:ascii="Century Schoolbook" w:hAnsi="Century Schoolbook"/>
      <w:color w:val="auto"/>
      <w:position w:val="10"/>
      <w:sz w:val="20"/>
      <w:vertAlign w:val="baseline"/>
    </w:rPr>
  </w:style>
  <w:style w:type="paragraph" w:styleId="FootnoteText">
    <w:name w:val="footnote text"/>
    <w:basedOn w:val="Normal"/>
    <w:rsid w:val="00D76C68"/>
    <w:pPr>
      <w:spacing w:line="240" w:lineRule="auto"/>
      <w:ind w:firstLine="720"/>
    </w:pPr>
    <w:rPr>
      <w:sz w:val="22"/>
    </w:rPr>
  </w:style>
  <w:style w:type="paragraph" w:styleId="TOC1">
    <w:name w:val="toc 1"/>
    <w:basedOn w:val="Normal"/>
    <w:next w:val="Normal"/>
    <w:autoRedefine/>
    <w:uiPriority w:val="39"/>
    <w:unhideWhenUsed/>
    <w:rsid w:val="00655B39"/>
    <w:pPr>
      <w:tabs>
        <w:tab w:val="right" w:leader="dot" w:pos="6480"/>
      </w:tabs>
      <w:spacing w:before="240" w:after="240" w:line="240" w:lineRule="auto"/>
      <w:ind w:right="720"/>
    </w:pPr>
    <w:rPr>
      <w:smallCaps/>
      <w:noProof/>
    </w:rPr>
  </w:style>
  <w:style w:type="character" w:styleId="Hyperlink">
    <w:name w:val="Hyperlink"/>
    <w:uiPriority w:val="99"/>
    <w:rsid w:val="00754BF5"/>
    <w:rPr>
      <w:color w:val="FF0000"/>
      <w:u w:val="single"/>
    </w:rPr>
  </w:style>
  <w:style w:type="paragraph" w:styleId="TableofAuthorities">
    <w:name w:val="table of authorities"/>
    <w:basedOn w:val="Normal"/>
    <w:next w:val="Normal"/>
    <w:link w:val="TableofAuthoritiesChar"/>
    <w:autoRedefine/>
    <w:uiPriority w:val="99"/>
    <w:semiHidden/>
    <w:rsid w:val="00211CE0"/>
    <w:pPr>
      <w:tabs>
        <w:tab w:val="right" w:leader="dot" w:pos="6034"/>
      </w:tabs>
      <w:spacing w:after="240"/>
      <w:ind w:left="720" w:right="720" w:hanging="720"/>
      <w:jc w:val="left"/>
    </w:pPr>
  </w:style>
  <w:style w:type="paragraph" w:styleId="Footer">
    <w:name w:val="footer"/>
    <w:basedOn w:val="Normal"/>
    <w:next w:val="Normal"/>
    <w:link w:val="FooterChar"/>
    <w:autoRedefine/>
    <w:uiPriority w:val="99"/>
    <w:rsid w:val="00307F39"/>
    <w:pPr>
      <w:spacing w:before="120"/>
      <w:jc w:val="center"/>
    </w:pPr>
    <w:rPr>
      <w:noProof/>
    </w:rPr>
  </w:style>
  <w:style w:type="paragraph" w:styleId="TOC2">
    <w:name w:val="toc 2"/>
    <w:basedOn w:val="Normal"/>
    <w:next w:val="Normal"/>
    <w:uiPriority w:val="39"/>
    <w:unhideWhenUsed/>
    <w:rsid w:val="00A73116"/>
    <w:pPr>
      <w:tabs>
        <w:tab w:val="left" w:pos="900"/>
        <w:tab w:val="right" w:leader="dot" w:pos="6480"/>
      </w:tabs>
      <w:spacing w:before="240" w:after="240" w:line="240" w:lineRule="auto"/>
      <w:ind w:left="900" w:right="1080" w:hanging="540"/>
    </w:pPr>
    <w:rPr>
      <w:noProof/>
      <w:szCs w:val="24"/>
    </w:rPr>
  </w:style>
  <w:style w:type="character" w:styleId="PageNumber">
    <w:name w:val="page number"/>
    <w:rsid w:val="00302849"/>
    <w:rPr>
      <w:rFonts w:ascii="Century Schoolbook" w:hAnsi="Century Schoolbook"/>
    </w:rPr>
  </w:style>
  <w:style w:type="paragraph" w:styleId="TOC3">
    <w:name w:val="toc 3"/>
    <w:basedOn w:val="Normal"/>
    <w:next w:val="Normal"/>
    <w:uiPriority w:val="39"/>
    <w:unhideWhenUsed/>
    <w:rsid w:val="00791EC8"/>
    <w:pPr>
      <w:tabs>
        <w:tab w:val="right" w:leader="dot" w:pos="6480"/>
      </w:tabs>
      <w:spacing w:before="240" w:after="240" w:line="240" w:lineRule="auto"/>
      <w:ind w:left="1260" w:right="1080" w:hanging="360"/>
    </w:pPr>
    <w:rPr>
      <w:noProof/>
      <w:szCs w:val="24"/>
    </w:rPr>
  </w:style>
  <w:style w:type="paragraph" w:styleId="TOC4">
    <w:name w:val="toc 4"/>
    <w:basedOn w:val="Normal"/>
    <w:next w:val="Normal"/>
    <w:uiPriority w:val="39"/>
    <w:unhideWhenUsed/>
    <w:rsid w:val="00791EC8"/>
    <w:pPr>
      <w:tabs>
        <w:tab w:val="right" w:leader="dot" w:pos="6480"/>
      </w:tabs>
      <w:spacing w:before="240" w:after="240" w:line="240" w:lineRule="auto"/>
      <w:ind w:left="1620" w:right="720" w:hanging="360"/>
    </w:pPr>
    <w:rPr>
      <w:noProof/>
      <w:szCs w:val="24"/>
    </w:rPr>
  </w:style>
  <w:style w:type="paragraph" w:styleId="TOC5">
    <w:name w:val="toc 5"/>
    <w:basedOn w:val="Normal"/>
    <w:next w:val="Normal"/>
    <w:uiPriority w:val="39"/>
    <w:rsid w:val="00791EC8"/>
    <w:pPr>
      <w:tabs>
        <w:tab w:val="right" w:leader="dot" w:pos="6480"/>
      </w:tabs>
      <w:spacing w:before="240" w:after="240" w:line="240" w:lineRule="auto"/>
      <w:ind w:left="1980" w:right="720" w:hanging="360"/>
    </w:pPr>
  </w:style>
  <w:style w:type="paragraph" w:styleId="TOC6">
    <w:name w:val="toc 6"/>
    <w:basedOn w:val="Normal"/>
    <w:next w:val="Normal"/>
    <w:semiHidden/>
    <w:rsid w:val="009F4188"/>
    <w:pPr>
      <w:tabs>
        <w:tab w:val="right" w:leader="dot" w:pos="6034"/>
      </w:tabs>
      <w:spacing w:after="240"/>
      <w:ind w:left="3600" w:right="720" w:hanging="720"/>
      <w:jc w:val="center"/>
    </w:pPr>
  </w:style>
  <w:style w:type="paragraph" w:styleId="TOC7">
    <w:name w:val="toc 7"/>
    <w:basedOn w:val="Normal"/>
    <w:next w:val="Normal"/>
    <w:semiHidden/>
    <w:rsid w:val="00211CE0"/>
    <w:pPr>
      <w:tabs>
        <w:tab w:val="right" w:leader="dot" w:pos="6034"/>
      </w:tabs>
      <w:spacing w:after="240"/>
      <w:ind w:left="4320" w:hanging="720"/>
    </w:pPr>
  </w:style>
  <w:style w:type="character" w:customStyle="1" w:styleId="FooterChar">
    <w:name w:val="Footer Char"/>
    <w:link w:val="Footer"/>
    <w:uiPriority w:val="99"/>
    <w:rsid w:val="00307F39"/>
    <w:rPr>
      <w:rFonts w:ascii="Century Schoolbook" w:hAnsi="Century Schoolbook"/>
      <w:noProof/>
      <w:sz w:val="26"/>
    </w:rPr>
  </w:style>
  <w:style w:type="paragraph" w:styleId="BalloonText">
    <w:name w:val="Balloon Text"/>
    <w:basedOn w:val="Normal"/>
    <w:link w:val="BalloonTextChar"/>
    <w:uiPriority w:val="99"/>
    <w:semiHidden/>
    <w:unhideWhenUsed/>
    <w:rsid w:val="000414C3"/>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0414C3"/>
    <w:rPr>
      <w:rFonts w:ascii="Tahoma" w:hAnsi="Tahoma" w:cs="Tahoma"/>
      <w:sz w:val="16"/>
      <w:szCs w:val="16"/>
    </w:rPr>
  </w:style>
  <w:style w:type="character" w:customStyle="1" w:styleId="Heading2Char">
    <w:name w:val="Heading 2 Char"/>
    <w:link w:val="Heading2"/>
    <w:uiPriority w:val="2"/>
    <w:rsid w:val="00307F39"/>
    <w:rPr>
      <w:rFonts w:ascii="Century Schoolbook" w:eastAsiaTheme="majorEastAsia" w:hAnsi="Century Schoolbook" w:cstheme="majorBidi"/>
      <w:b/>
      <w:sz w:val="26"/>
      <w:szCs w:val="26"/>
    </w:rPr>
  </w:style>
  <w:style w:type="character" w:customStyle="1" w:styleId="Heading1Char">
    <w:name w:val="Heading 1 Char"/>
    <w:link w:val="Heading1"/>
    <w:uiPriority w:val="2"/>
    <w:rsid w:val="00307F39"/>
    <w:rPr>
      <w:rFonts w:ascii="Century Schoolbook" w:hAnsi="Century Schoolbook"/>
      <w:b/>
      <w:bCs/>
      <w:caps/>
      <w:sz w:val="26"/>
      <w:szCs w:val="28"/>
    </w:rPr>
  </w:style>
  <w:style w:type="character" w:customStyle="1" w:styleId="Heading3Char">
    <w:name w:val="Heading 3 Char"/>
    <w:link w:val="Heading3"/>
    <w:uiPriority w:val="2"/>
    <w:rsid w:val="0040520A"/>
    <w:rPr>
      <w:rFonts w:ascii="Century Schoolbook" w:eastAsia="Century Schoolbook" w:hAnsi="Century Schoolbook" w:cstheme="majorBidi"/>
      <w:sz w:val="26"/>
      <w:szCs w:val="26"/>
      <w:lang w:val="en"/>
    </w:rPr>
  </w:style>
  <w:style w:type="character" w:customStyle="1" w:styleId="Heading4Char">
    <w:name w:val="Heading 4 Char"/>
    <w:link w:val="Heading4"/>
    <w:uiPriority w:val="9"/>
    <w:rsid w:val="00580071"/>
    <w:rPr>
      <w:rFonts w:ascii="Century Schoolbook" w:eastAsia="Century Schoolbook" w:hAnsi="Century Schoolbook"/>
      <w:sz w:val="26"/>
      <w:szCs w:val="24"/>
      <w:lang w:val="en"/>
    </w:rPr>
  </w:style>
  <w:style w:type="character" w:customStyle="1" w:styleId="Heading6Char">
    <w:name w:val="Heading 6 Char"/>
    <w:basedOn w:val="DefaultParagraphFont"/>
    <w:link w:val="Heading6"/>
    <w:uiPriority w:val="9"/>
    <w:semiHidden/>
    <w:rsid w:val="00D45102"/>
    <w:rPr>
      <w:rFonts w:asciiTheme="majorHAnsi" w:eastAsiaTheme="majorEastAsia" w:hAnsiTheme="majorHAnsi" w:cstheme="majorBidi"/>
      <w:i/>
      <w:iCs/>
      <w:color w:val="243F60" w:themeColor="accent1" w:themeShade="7F"/>
      <w:sz w:val="26"/>
    </w:rPr>
  </w:style>
  <w:style w:type="character" w:customStyle="1" w:styleId="Heading8Char">
    <w:name w:val="Heading 8 Char"/>
    <w:basedOn w:val="DefaultParagraphFont"/>
    <w:link w:val="Heading8"/>
    <w:uiPriority w:val="9"/>
    <w:semiHidden/>
    <w:rsid w:val="005D5537"/>
    <w:rPr>
      <w:rFonts w:asciiTheme="majorHAnsi" w:eastAsiaTheme="majorEastAsia" w:hAnsiTheme="majorHAnsi" w:cstheme="majorBidi"/>
      <w:color w:val="404040" w:themeColor="text1" w:themeTint="BF"/>
    </w:rPr>
  </w:style>
  <w:style w:type="character" w:customStyle="1" w:styleId="Heading5Char">
    <w:name w:val="Heading 5 Char"/>
    <w:link w:val="Heading5"/>
    <w:uiPriority w:val="9"/>
    <w:rsid w:val="00F607BD"/>
    <w:rPr>
      <w:rFonts w:ascii="Century Schoolbook" w:hAnsi="Century Schoolbook"/>
      <w:sz w:val="26"/>
      <w:szCs w:val="24"/>
    </w:rPr>
  </w:style>
  <w:style w:type="numbering" w:customStyle="1" w:styleId="Outline-Tom">
    <w:name w:val="Outline - Tom"/>
    <w:uiPriority w:val="99"/>
    <w:rsid w:val="002F2B4E"/>
  </w:style>
  <w:style w:type="paragraph" w:styleId="BodyText">
    <w:name w:val="Body Text"/>
    <w:basedOn w:val="Normal"/>
    <w:link w:val="BodyTextChar"/>
    <w:autoRedefine/>
    <w:uiPriority w:val="99"/>
    <w:unhideWhenUsed/>
    <w:qFormat/>
    <w:rsid w:val="00307F39"/>
    <w:pPr>
      <w:spacing w:before="240"/>
      <w:ind w:firstLine="720"/>
    </w:pPr>
    <w:rPr>
      <w:szCs w:val="24"/>
    </w:rPr>
  </w:style>
  <w:style w:type="character" w:customStyle="1" w:styleId="BodyTextChar">
    <w:name w:val="Body Text Char"/>
    <w:basedOn w:val="DefaultParagraphFont"/>
    <w:link w:val="BodyText"/>
    <w:uiPriority w:val="99"/>
    <w:rsid w:val="00307F39"/>
    <w:rPr>
      <w:rFonts w:ascii="Century Schoolbook" w:hAnsi="Century Schoolbook"/>
      <w:sz w:val="26"/>
      <w:szCs w:val="24"/>
    </w:rPr>
  </w:style>
  <w:style w:type="paragraph" w:customStyle="1" w:styleId="BlockQuote">
    <w:name w:val="Block Quote"/>
    <w:basedOn w:val="BodyText"/>
    <w:link w:val="BlockQuoteChar"/>
    <w:qFormat/>
    <w:rsid w:val="00CF18D1"/>
    <w:pPr>
      <w:spacing w:line="240" w:lineRule="auto"/>
      <w:ind w:left="720" w:right="720" w:firstLine="0"/>
    </w:pPr>
    <w:rPr>
      <w:sz w:val="22"/>
    </w:rPr>
  </w:style>
  <w:style w:type="character" w:customStyle="1" w:styleId="BlockQuoteChar">
    <w:name w:val="Block Quote Char"/>
    <w:basedOn w:val="BodyTextChar"/>
    <w:link w:val="BlockQuote"/>
    <w:rsid w:val="00CF18D1"/>
    <w:rPr>
      <w:rFonts w:ascii="Century Schoolbook" w:hAnsi="Century Schoolbook"/>
      <w:sz w:val="22"/>
      <w:szCs w:val="24"/>
    </w:rPr>
  </w:style>
  <w:style w:type="paragraph" w:customStyle="1" w:styleId="CasesCited">
    <w:name w:val="Cases Cited"/>
    <w:basedOn w:val="TableofAuthorities"/>
    <w:link w:val="CasesCitedChar"/>
    <w:qFormat/>
    <w:rsid w:val="00541186"/>
    <w:pPr>
      <w:tabs>
        <w:tab w:val="clear" w:pos="6034"/>
        <w:tab w:val="right" w:leader="dot" w:pos="6480"/>
      </w:tabs>
    </w:pPr>
    <w:rPr>
      <w:noProof/>
    </w:rPr>
  </w:style>
  <w:style w:type="character" w:customStyle="1" w:styleId="TableofAuthoritiesChar">
    <w:name w:val="Table of Authorities Char"/>
    <w:basedOn w:val="DefaultParagraphFont"/>
    <w:link w:val="TableofAuthorities"/>
    <w:uiPriority w:val="99"/>
    <w:semiHidden/>
    <w:rsid w:val="00541186"/>
    <w:rPr>
      <w:rFonts w:ascii="Century Schoolbook" w:hAnsi="Century Schoolbook"/>
      <w:sz w:val="26"/>
    </w:rPr>
  </w:style>
  <w:style w:type="character" w:customStyle="1" w:styleId="CasesCitedChar">
    <w:name w:val="Cases Cited Char"/>
    <w:basedOn w:val="TableofAuthoritiesChar"/>
    <w:link w:val="CasesCited"/>
    <w:rsid w:val="00541186"/>
    <w:rPr>
      <w:rFonts w:ascii="Century Schoolbook" w:hAnsi="Century Schoolbook"/>
      <w:noProof/>
      <w:sz w:val="26"/>
    </w:rPr>
  </w:style>
  <w:style w:type="paragraph" w:customStyle="1" w:styleId="AppendixTOC">
    <w:name w:val="Appendix TOC"/>
    <w:basedOn w:val="Normal"/>
    <w:link w:val="AppendixTOCChar"/>
    <w:qFormat/>
    <w:rsid w:val="001746F3"/>
    <w:pPr>
      <w:tabs>
        <w:tab w:val="right" w:leader="dot" w:pos="6480"/>
      </w:tabs>
      <w:spacing w:before="120" w:after="120"/>
      <w:ind w:left="360" w:right="1440" w:hanging="360"/>
    </w:pPr>
  </w:style>
  <w:style w:type="character" w:customStyle="1" w:styleId="AppendixTOCChar">
    <w:name w:val="Appendix TOC Char"/>
    <w:basedOn w:val="DefaultParagraphFont"/>
    <w:link w:val="AppendixTOC"/>
    <w:rsid w:val="001746F3"/>
    <w:rPr>
      <w:rFonts w:ascii="Century Schoolbook" w:hAnsi="Century Schoolbook"/>
      <w:sz w:val="26"/>
    </w:rPr>
  </w:style>
  <w:style w:type="paragraph" w:styleId="TOAHeading">
    <w:name w:val="toa heading"/>
    <w:basedOn w:val="Normal"/>
    <w:next w:val="Normal"/>
    <w:uiPriority w:val="99"/>
    <w:semiHidden/>
    <w:unhideWhenUsed/>
    <w:rsid w:val="00F40596"/>
    <w:pPr>
      <w:spacing w:before="120"/>
    </w:pPr>
    <w:rPr>
      <w:rFonts w:eastAsiaTheme="majorEastAsia" w:cstheme="majorBidi"/>
      <w:b/>
      <w:bCs/>
      <w:sz w:val="24"/>
      <w:szCs w:val="24"/>
    </w:rPr>
  </w:style>
  <w:style w:type="paragraph" w:styleId="Header">
    <w:name w:val="header"/>
    <w:basedOn w:val="Normal"/>
    <w:link w:val="HeaderChar"/>
    <w:uiPriority w:val="99"/>
    <w:unhideWhenUsed/>
    <w:rsid w:val="00971273"/>
    <w:pPr>
      <w:tabs>
        <w:tab w:val="center" w:pos="4680"/>
        <w:tab w:val="right" w:pos="9360"/>
      </w:tabs>
      <w:spacing w:line="240" w:lineRule="auto"/>
    </w:pPr>
  </w:style>
  <w:style w:type="character" w:customStyle="1" w:styleId="HeaderChar">
    <w:name w:val="Header Char"/>
    <w:basedOn w:val="DefaultParagraphFont"/>
    <w:link w:val="Header"/>
    <w:uiPriority w:val="99"/>
    <w:rsid w:val="00971273"/>
    <w:rPr>
      <w:rFonts w:ascii="Century Schoolbook" w:hAnsi="Century Schoolbook"/>
      <w:sz w:val="26"/>
    </w:rPr>
  </w:style>
  <w:style w:type="paragraph" w:customStyle="1" w:styleId="Issue">
    <w:name w:val="Issue"/>
    <w:aliases w:val="i,issue"/>
    <w:basedOn w:val="Normal"/>
    <w:next w:val="Normal"/>
    <w:autoRedefine/>
    <w:qFormat/>
    <w:rsid w:val="00300B07"/>
    <w:pPr>
      <w:spacing w:before="240"/>
      <w:ind w:left="720" w:hanging="720"/>
    </w:pPr>
  </w:style>
  <w:style w:type="paragraph" w:styleId="ListParagraph">
    <w:name w:val="List Paragraph"/>
    <w:basedOn w:val="Normal"/>
    <w:uiPriority w:val="34"/>
    <w:qFormat/>
    <w:rsid w:val="00300B07"/>
    <w:pPr>
      <w:ind w:left="720"/>
      <w:contextualSpacing/>
    </w:pPr>
  </w:style>
  <w:style w:type="paragraph" w:styleId="Revision">
    <w:name w:val="Revision"/>
    <w:hidden/>
    <w:uiPriority w:val="99"/>
    <w:semiHidden/>
    <w:rsid w:val="00580071"/>
  </w:style>
  <w:style w:type="character" w:styleId="CommentReference">
    <w:name w:val="annotation reference"/>
    <w:basedOn w:val="DefaultParagraphFont"/>
    <w:uiPriority w:val="99"/>
    <w:semiHidden/>
    <w:unhideWhenUsed/>
    <w:rsid w:val="0040520A"/>
    <w:rPr>
      <w:sz w:val="16"/>
      <w:szCs w:val="16"/>
    </w:rPr>
  </w:style>
  <w:style w:type="paragraph" w:styleId="CommentText">
    <w:name w:val="annotation text"/>
    <w:basedOn w:val="Normal"/>
    <w:link w:val="CommentTextChar"/>
    <w:uiPriority w:val="99"/>
    <w:unhideWhenUsed/>
    <w:rsid w:val="0040520A"/>
    <w:pPr>
      <w:spacing w:line="240" w:lineRule="auto"/>
    </w:pPr>
    <w:rPr>
      <w:sz w:val="20"/>
    </w:rPr>
  </w:style>
  <w:style w:type="character" w:customStyle="1" w:styleId="CommentTextChar">
    <w:name w:val="Comment Text Char"/>
    <w:basedOn w:val="DefaultParagraphFont"/>
    <w:link w:val="CommentText"/>
    <w:uiPriority w:val="99"/>
    <w:rsid w:val="0040520A"/>
    <w:rPr>
      <w:rFonts w:ascii="Century Schoolbook" w:hAnsi="Century Schoolbook"/>
    </w:rPr>
  </w:style>
  <w:style w:type="paragraph" w:styleId="CommentSubject">
    <w:name w:val="annotation subject"/>
    <w:basedOn w:val="CommentText"/>
    <w:next w:val="CommentText"/>
    <w:link w:val="CommentSubjectChar"/>
    <w:uiPriority w:val="99"/>
    <w:semiHidden/>
    <w:unhideWhenUsed/>
    <w:rsid w:val="0040520A"/>
    <w:rPr>
      <w:b/>
      <w:bCs/>
    </w:rPr>
  </w:style>
  <w:style w:type="character" w:customStyle="1" w:styleId="CommentSubjectChar">
    <w:name w:val="Comment Subject Char"/>
    <w:basedOn w:val="CommentTextChar"/>
    <w:link w:val="CommentSubject"/>
    <w:uiPriority w:val="99"/>
    <w:semiHidden/>
    <w:rsid w:val="0040520A"/>
    <w:rPr>
      <w:rFonts w:ascii="Century Schoolbook" w:hAnsi="Century Schoolbook"/>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footer" Target="footer4.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x59WEN6dtfFIwHEviusUAsHSwQ==">CgMxLjAyDmguOGU0eHIwc3JnbGR5Mg5oLnk4MHE3ZDlhNmpjdTIOaC4yNGU0MW0zb29zYXkyDmgucDh2bG8zand1eGwxMg5oLjQwbm8wcTNhNW5iYTIOaC5ka2k0a21sMDdtMnoyDmgud3Y4cnY0cnR3b3I4Mg5oLjMzdzFhbXBpdHNtNjIOaC5zc3V3eWptN2UxZngyDmguOW9yb3k2bjl2Z2h3Mg5oLnVuM2U1OHlwcmg1YzIOaC51cnNlempxOGxhOWI4AHIhMWVVRTYwWndjUHNjYjVWTE9SdmNGMnA1LU9abFIyYnRm</go:docsCustomData>
</go:gDocsCustomXmlDataStorage>
</file>

<file path=customXml/itemProps1.xml><?xml version="1.0" encoding="utf-8"?>
<ds:datastoreItem xmlns:ds="http://schemas.openxmlformats.org/officeDocument/2006/customXml" ds:itemID="{CFE24AC8-2146-42EF-9F5E-D92A24787EB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58</Pages>
  <Words>9983</Words>
  <Characters>56909</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Brianna Cebula</dc:creator>
  <cp:lastModifiedBy>Smith, Nicholas</cp:lastModifiedBy>
  <cp:revision>2</cp:revision>
  <dcterms:created xsi:type="dcterms:W3CDTF">2026-02-25T19:05:00Z</dcterms:created>
  <dcterms:modified xsi:type="dcterms:W3CDTF">2026-02-25T19:05:00Z</dcterms:modified>
</cp:coreProperties>
</file>