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ARGUMENT I. STANDARD OF REVIEW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This Court reviews a circuit court's grant of summary judgment de novo. See Tews v. NHI, LLC, 2010 WI 137, ¶ 4, 330 Wis. 2d 389. See also Brown v. Holiday, 2008 WI 49.</w:t>
      </w:r>
    </w:p>
    <w:p>
      <w:pPr>
        <w:spacing w:line="240" w:lineRule="auto"/>
        <w:ind w:left="720"/>
      </w:pPr>
      <w:r>
        <w:rPr>
          <w:rFonts w:ascii="Times New Roman" w:hAnsi="Times New Roman"/>
          <w:sz w:val="26"/>
        </w:rPr>
        <w:t>Summary judgment is appropriate if the pleadings, depositions, answers to interrogatories, and admissions on file show that there is no genuine issue as to any material fact.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6"/>
        </w:rPr>
        <w:t>For the foregoing reasons, the order of the circuit court should be affirmed.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