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A9F" w:rsidRPr="00326FC8" w:rsidRDefault="00855A9F" w:rsidP="00855A9F">
      <w:pPr>
        <w:jc w:val="center"/>
        <w:rPr>
          <w:rFonts w:ascii="Arial Rounded MT Bold" w:hAnsi="Arial Rounded MT Bold"/>
          <w:sz w:val="28"/>
        </w:rPr>
      </w:pPr>
      <w:r w:rsidRPr="00326FC8">
        <w:rPr>
          <w:rFonts w:ascii="Arial Rounded MT Bold" w:hAnsi="Arial Rounded MT Bold"/>
          <w:sz w:val="28"/>
        </w:rPr>
        <w:t>Report</w:t>
      </w:r>
    </w:p>
    <w:p w:rsidR="00855A9F" w:rsidRPr="00855A9F" w:rsidRDefault="00855A9F" w:rsidP="00855A9F">
      <w:pPr>
        <w:jc w:val="center"/>
        <w:rPr>
          <w:sz w:val="32"/>
        </w:rPr>
      </w:pPr>
      <w:r w:rsidRPr="00855A9F">
        <w:rPr>
          <w:sz w:val="32"/>
        </w:rPr>
        <w:t>on</w:t>
      </w:r>
    </w:p>
    <w:p w:rsidR="00855A9F" w:rsidRPr="00326FC8" w:rsidRDefault="00374A86" w:rsidP="00326FC8">
      <w:pPr>
        <w:jc w:val="center"/>
        <w:rPr>
          <w:rFonts w:ascii="Arial Rounded MT Bold" w:hAnsi="Arial Rounded MT Bold"/>
          <w:sz w:val="32"/>
          <w:u w:val="single"/>
        </w:rPr>
      </w:pPr>
      <w:r w:rsidRPr="00326FC8">
        <w:rPr>
          <w:rFonts w:ascii="Arial Rounded MT Bold" w:hAnsi="Arial Rounded MT Bold"/>
          <w:sz w:val="32"/>
          <w:u w:val="single"/>
        </w:rPr>
        <w:t xml:space="preserve">TCS </w:t>
      </w:r>
      <w:r w:rsidR="00855A9F" w:rsidRPr="00326FC8">
        <w:rPr>
          <w:rFonts w:ascii="Arial Rounded MT Bold" w:hAnsi="Arial Rounded MT Bold"/>
          <w:sz w:val="32"/>
          <w:u w:val="single"/>
        </w:rPr>
        <w:t>Stocks Market Analysis</w:t>
      </w:r>
    </w:p>
    <w:p w:rsidR="00374A86" w:rsidRPr="00374A86" w:rsidRDefault="00374A86" w:rsidP="00374A8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26FC8">
        <w:rPr>
          <w:rFonts w:ascii="Times New Roman" w:eastAsia="Times New Roman" w:hAnsi="Times New Roman" w:cs="Times New Roman"/>
          <w:b/>
          <w:bCs/>
          <w:sz w:val="24"/>
          <w:szCs w:val="24"/>
          <w:lang w:eastAsia="en-IN"/>
        </w:rPr>
        <w:t>1. Objective:</w:t>
      </w:r>
    </w:p>
    <w:p w:rsidR="00374A86" w:rsidRPr="00374A86" w:rsidRDefault="00374A86" w:rsidP="00374A86">
      <w:pPr>
        <w:spacing w:after="0" w:line="240" w:lineRule="auto"/>
        <w:rPr>
          <w:rFonts w:ascii="Times New Roman" w:eastAsia="Times New Roman" w:hAnsi="Times New Roman" w:cs="Times New Roman"/>
          <w:sz w:val="32"/>
          <w:szCs w:val="24"/>
          <w:lang w:eastAsia="en-IN"/>
        </w:rPr>
      </w:pPr>
      <w:r w:rsidRPr="00326FC8">
        <w:rPr>
          <w:rFonts w:cstheme="minorHAnsi"/>
          <w:sz w:val="16"/>
          <w:szCs w:val="16"/>
        </w:rPr>
        <w:t xml:space="preserve">To </w:t>
      </w:r>
      <w:r w:rsidRPr="00326FC8">
        <w:rPr>
          <w:rFonts w:cstheme="minorHAnsi"/>
          <w:sz w:val="16"/>
          <w:szCs w:val="16"/>
        </w:rPr>
        <w:t>analyse</w:t>
      </w:r>
      <w:r w:rsidRPr="00326FC8">
        <w:rPr>
          <w:rFonts w:cstheme="minorHAnsi"/>
          <w:sz w:val="16"/>
          <w:szCs w:val="16"/>
        </w:rPr>
        <w:t xml:space="preserve"> Tata Consultancy Services (TCS) stock data using SQL for data extraction and transformation, Excel for preliminary analysis and calculations, and Power BI for visualization and insights into trends, trading volumes, and price movements.</w:t>
      </w:r>
      <w:r w:rsidRPr="00374A86">
        <w:rPr>
          <w:rFonts w:ascii="Times New Roman" w:eastAsia="Times New Roman" w:hAnsi="Times New Roman" w:cs="Times New Roman"/>
          <w:sz w:val="32"/>
          <w:szCs w:val="24"/>
          <w:lang w:eastAsia="en-IN"/>
        </w:rPr>
        <w:pict>
          <v:rect id="_x0000_i1031" style="width:0;height:1.5pt" o:hralign="center" o:hrstd="t" o:hr="t" fillcolor="#a0a0a0" stroked="f"/>
        </w:pict>
      </w:r>
    </w:p>
    <w:p w:rsidR="00374A86" w:rsidRPr="00374A86" w:rsidRDefault="00374A86" w:rsidP="00374A8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26FC8">
        <w:rPr>
          <w:rFonts w:ascii="Times New Roman" w:eastAsia="Times New Roman" w:hAnsi="Times New Roman" w:cs="Times New Roman"/>
          <w:b/>
          <w:bCs/>
          <w:sz w:val="24"/>
          <w:szCs w:val="24"/>
          <w:lang w:eastAsia="en-IN"/>
        </w:rPr>
        <w:t>2. Analysis Overview:</w:t>
      </w:r>
    </w:p>
    <w:p w:rsidR="00374A86" w:rsidRPr="00374A86" w:rsidRDefault="00374A86" w:rsidP="00374A86">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326FC8">
        <w:rPr>
          <w:rFonts w:ascii="Times New Roman" w:eastAsia="Times New Roman" w:hAnsi="Times New Roman" w:cs="Times New Roman"/>
          <w:b/>
          <w:bCs/>
          <w:sz w:val="20"/>
          <w:szCs w:val="20"/>
          <w:lang w:eastAsia="en-IN"/>
        </w:rPr>
        <w:t>Key Metrics:</w:t>
      </w:r>
    </w:p>
    <w:p w:rsidR="00374A86" w:rsidRPr="00374A86" w:rsidRDefault="00374A86" w:rsidP="00374A86">
      <w:pPr>
        <w:numPr>
          <w:ilvl w:val="0"/>
          <w:numId w:val="1"/>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Highest Price:</w:t>
      </w:r>
      <w:r w:rsidRPr="00374A86">
        <w:rPr>
          <w:rFonts w:eastAsia="Times New Roman" w:cstheme="minorHAnsi"/>
          <w:sz w:val="16"/>
          <w:szCs w:val="16"/>
          <w:lang w:eastAsia="en-IN"/>
        </w:rPr>
        <w:t xml:space="preserve"> 3.32M</w:t>
      </w:r>
    </w:p>
    <w:p w:rsidR="00374A86" w:rsidRPr="00374A86" w:rsidRDefault="00374A86" w:rsidP="00374A86">
      <w:pPr>
        <w:numPr>
          <w:ilvl w:val="0"/>
          <w:numId w:val="1"/>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Lowest Price:</w:t>
      </w:r>
      <w:r w:rsidRPr="00374A86">
        <w:rPr>
          <w:rFonts w:eastAsia="Times New Roman" w:cstheme="minorHAnsi"/>
          <w:sz w:val="16"/>
          <w:szCs w:val="16"/>
          <w:lang w:eastAsia="en-IN"/>
        </w:rPr>
        <w:t xml:space="preserve"> 3.25M</w:t>
      </w:r>
    </w:p>
    <w:p w:rsidR="00374A86" w:rsidRPr="00374A86" w:rsidRDefault="00374A86" w:rsidP="00374A86">
      <w:pPr>
        <w:numPr>
          <w:ilvl w:val="0"/>
          <w:numId w:val="1"/>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Opening Price:</w:t>
      </w:r>
      <w:r w:rsidRPr="00374A86">
        <w:rPr>
          <w:rFonts w:eastAsia="Times New Roman" w:cstheme="minorHAnsi"/>
          <w:sz w:val="16"/>
          <w:szCs w:val="16"/>
          <w:lang w:eastAsia="en-IN"/>
        </w:rPr>
        <w:t xml:space="preserve"> 3.28M</w:t>
      </w:r>
    </w:p>
    <w:p w:rsidR="00374A86" w:rsidRPr="00374A86" w:rsidRDefault="00374A86" w:rsidP="00374A86">
      <w:pPr>
        <w:numPr>
          <w:ilvl w:val="0"/>
          <w:numId w:val="1"/>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Closing Price:</w:t>
      </w:r>
      <w:r w:rsidRPr="00374A86">
        <w:rPr>
          <w:rFonts w:eastAsia="Times New Roman" w:cstheme="minorHAnsi"/>
          <w:sz w:val="16"/>
          <w:szCs w:val="16"/>
          <w:lang w:eastAsia="en-IN"/>
        </w:rPr>
        <w:t xml:space="preserve"> 3.28M</w:t>
      </w:r>
    </w:p>
    <w:p w:rsidR="00374A86" w:rsidRPr="00374A86" w:rsidRDefault="00374A86" w:rsidP="00374A86">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326FC8">
        <w:rPr>
          <w:rFonts w:ascii="Times New Roman" w:eastAsia="Times New Roman" w:hAnsi="Times New Roman" w:cs="Times New Roman"/>
          <w:b/>
          <w:bCs/>
          <w:sz w:val="20"/>
          <w:szCs w:val="20"/>
          <w:lang w:eastAsia="en-IN"/>
        </w:rPr>
        <w:t>Key Analysis Dimensions:</w:t>
      </w:r>
    </w:p>
    <w:p w:rsidR="00374A86" w:rsidRPr="00374A86" w:rsidRDefault="00374A86" w:rsidP="00374A86">
      <w:pPr>
        <w:numPr>
          <w:ilvl w:val="0"/>
          <w:numId w:val="2"/>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Yearly Analysis:</w:t>
      </w:r>
      <w:r w:rsidRPr="00374A86">
        <w:rPr>
          <w:rFonts w:eastAsia="Times New Roman" w:cstheme="minorHAnsi"/>
          <w:sz w:val="16"/>
          <w:szCs w:val="16"/>
          <w:lang w:eastAsia="en-IN"/>
        </w:rPr>
        <w:t xml:space="preserve"> Opening, closing, highest, and lowest prices summarized by year.</w:t>
      </w:r>
    </w:p>
    <w:p w:rsidR="00374A86" w:rsidRPr="00374A86" w:rsidRDefault="00374A86" w:rsidP="00374A86">
      <w:pPr>
        <w:numPr>
          <w:ilvl w:val="0"/>
          <w:numId w:val="2"/>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Quarterly and Monthly Trends:</w:t>
      </w:r>
      <w:r w:rsidRPr="00374A86">
        <w:rPr>
          <w:rFonts w:eastAsia="Times New Roman" w:cstheme="minorHAnsi"/>
          <w:sz w:val="16"/>
          <w:szCs w:val="16"/>
          <w:lang w:eastAsia="en-IN"/>
        </w:rPr>
        <w:t xml:space="preserve"> Stock movements and volumes </w:t>
      </w:r>
      <w:r w:rsidRPr="00326FC8">
        <w:rPr>
          <w:rFonts w:eastAsia="Times New Roman" w:cstheme="minorHAnsi"/>
          <w:sz w:val="16"/>
          <w:szCs w:val="16"/>
          <w:lang w:eastAsia="en-IN"/>
        </w:rPr>
        <w:t>analysed</w:t>
      </w:r>
      <w:r w:rsidRPr="00374A86">
        <w:rPr>
          <w:rFonts w:eastAsia="Times New Roman" w:cstheme="minorHAnsi"/>
          <w:sz w:val="16"/>
          <w:szCs w:val="16"/>
          <w:lang w:eastAsia="en-IN"/>
        </w:rPr>
        <w:t xml:space="preserve"> seasonally.</w:t>
      </w:r>
    </w:p>
    <w:p w:rsidR="00374A86" w:rsidRPr="00374A86" w:rsidRDefault="00374A86" w:rsidP="00374A86">
      <w:pPr>
        <w:numPr>
          <w:ilvl w:val="0"/>
          <w:numId w:val="2"/>
        </w:numPr>
        <w:spacing w:before="100" w:beforeAutospacing="1" w:after="100" w:afterAutospacing="1" w:line="240" w:lineRule="auto"/>
        <w:rPr>
          <w:rFonts w:eastAsia="Times New Roman" w:cstheme="minorHAnsi"/>
          <w:sz w:val="16"/>
          <w:szCs w:val="16"/>
          <w:lang w:eastAsia="en-IN"/>
        </w:rPr>
      </w:pPr>
      <w:r w:rsidRPr="00326FC8">
        <w:rPr>
          <w:rFonts w:eastAsia="Times New Roman" w:cstheme="minorHAnsi"/>
          <w:b/>
          <w:bCs/>
          <w:sz w:val="16"/>
          <w:szCs w:val="16"/>
          <w:lang w:eastAsia="en-IN"/>
        </w:rPr>
        <w:t>Day-Wise Insights:</w:t>
      </w:r>
      <w:r w:rsidRPr="00374A86">
        <w:rPr>
          <w:rFonts w:eastAsia="Times New Roman" w:cstheme="minorHAnsi"/>
          <w:sz w:val="16"/>
          <w:szCs w:val="16"/>
          <w:lang w:eastAsia="en-IN"/>
        </w:rPr>
        <w:t xml:space="preserve"> Daily fluctuations and trade volumes examined.</w:t>
      </w:r>
    </w:p>
    <w:p w:rsidR="008830EC" w:rsidRPr="00326FC8" w:rsidRDefault="00374A86" w:rsidP="00326FC8">
      <w:pPr>
        <w:spacing w:after="0" w:line="240" w:lineRule="auto"/>
        <w:rPr>
          <w:rFonts w:ascii="Times New Roman" w:eastAsia="Times New Roman" w:hAnsi="Times New Roman" w:cs="Times New Roman"/>
          <w:sz w:val="32"/>
          <w:szCs w:val="24"/>
          <w:lang w:eastAsia="en-IN"/>
        </w:rPr>
      </w:pPr>
      <w:r w:rsidRPr="00374A86">
        <w:rPr>
          <w:rFonts w:ascii="Times New Roman" w:eastAsia="Times New Roman" w:hAnsi="Times New Roman" w:cs="Times New Roman"/>
          <w:sz w:val="32"/>
          <w:szCs w:val="24"/>
          <w:lang w:eastAsia="en-IN"/>
        </w:rPr>
        <w:pict>
          <v:rect id="_x0000_i1032" style="width:0;height:1.5pt" o:hralign="center" o:hrstd="t" o:hr="t" fillcolor="#a0a0a0" stroked="f"/>
        </w:pict>
      </w:r>
      <w:r w:rsidR="00326FC8">
        <w:rPr>
          <w:rFonts w:ascii="Times New Roman" w:eastAsia="Times New Roman" w:hAnsi="Times New Roman" w:cs="Times New Roman"/>
          <w:sz w:val="24"/>
          <w:szCs w:val="24"/>
          <w:lang w:eastAsia="en-IN"/>
        </w:rPr>
        <w:t>3</w:t>
      </w:r>
      <w:r w:rsidR="00326FC8">
        <w:rPr>
          <w:rFonts w:ascii="Times New Roman" w:eastAsia="Times New Roman" w:hAnsi="Times New Roman" w:cs="Times New Roman"/>
          <w:sz w:val="32"/>
          <w:szCs w:val="24"/>
          <w:lang w:eastAsia="en-IN"/>
        </w:rPr>
        <w:t xml:space="preserve">. </w:t>
      </w:r>
      <w:r w:rsidRPr="00326FC8">
        <w:rPr>
          <w:rFonts w:ascii="Times New Roman" w:eastAsia="Times New Roman" w:hAnsi="Times New Roman" w:cs="Times New Roman"/>
          <w:b/>
          <w:bCs/>
          <w:sz w:val="24"/>
          <w:szCs w:val="24"/>
          <w:lang w:eastAsia="en-IN"/>
        </w:rPr>
        <w:t>Insights and Findings</w:t>
      </w:r>
      <w:r w:rsidR="008830EC" w:rsidRPr="00326FC8">
        <w:rPr>
          <w:rFonts w:ascii="Times New Roman" w:eastAsia="Times New Roman" w:hAnsi="Times New Roman" w:cs="Times New Roman"/>
          <w:b/>
          <w:bCs/>
          <w:sz w:val="24"/>
          <w:szCs w:val="24"/>
          <w:lang w:eastAsia="en-IN"/>
        </w:rPr>
        <w:t xml:space="preserve"> Using Power BI and Excel</w:t>
      </w:r>
    </w:p>
    <w:p w:rsidR="00374A86" w:rsidRPr="00374A86" w:rsidRDefault="00374A86" w:rsidP="00374A86">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326FC8">
        <w:rPr>
          <w:rFonts w:ascii="Times New Roman" w:eastAsia="Times New Roman" w:hAnsi="Times New Roman" w:cs="Times New Roman"/>
          <w:b/>
          <w:bCs/>
          <w:sz w:val="20"/>
          <w:szCs w:val="20"/>
          <w:lang w:eastAsia="en-IN"/>
        </w:rPr>
        <w:t>Yearly Trends:</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Yearly data highlights gradual price changes from opening to closing values.</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32"/>
          <w:szCs w:val="24"/>
          <w:lang w:eastAsia="en-IN"/>
        </w:rPr>
      </w:pPr>
      <w:r w:rsidRPr="00374A86">
        <w:rPr>
          <w:rFonts w:ascii="Times New Roman" w:eastAsia="Times New Roman" w:hAnsi="Times New Roman" w:cs="Times New Roman"/>
          <w:sz w:val="16"/>
          <w:szCs w:val="16"/>
          <w:lang w:eastAsia="en-IN"/>
        </w:rPr>
        <w:t>Price fluctuations are consistent across years, reflecting market stability</w:t>
      </w:r>
      <w:r w:rsidRPr="00374A86">
        <w:rPr>
          <w:rFonts w:ascii="Times New Roman" w:eastAsia="Times New Roman" w:hAnsi="Times New Roman" w:cs="Times New Roman"/>
          <w:sz w:val="32"/>
          <w:szCs w:val="24"/>
          <w:lang w:eastAsia="en-IN"/>
        </w:rPr>
        <w:t>.</w:t>
      </w:r>
    </w:p>
    <w:p w:rsidR="00374A86" w:rsidRPr="00374A86" w:rsidRDefault="00374A86" w:rsidP="00374A86">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326FC8">
        <w:rPr>
          <w:rFonts w:ascii="Times New Roman" w:eastAsia="Times New Roman" w:hAnsi="Times New Roman" w:cs="Times New Roman"/>
          <w:b/>
          <w:bCs/>
          <w:sz w:val="20"/>
          <w:szCs w:val="20"/>
          <w:lang w:eastAsia="en-IN"/>
        </w:rPr>
        <w:t>Volume Analysis:</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26FC8">
        <w:rPr>
          <w:rFonts w:ascii="Times New Roman" w:eastAsia="Times New Roman" w:hAnsi="Times New Roman" w:cs="Times New Roman"/>
          <w:b/>
          <w:bCs/>
          <w:sz w:val="16"/>
          <w:szCs w:val="16"/>
          <w:lang w:eastAsia="en-IN"/>
        </w:rPr>
        <w:t>Yearly Volume Distribution:</w:t>
      </w:r>
    </w:p>
    <w:p w:rsidR="00374A86" w:rsidRPr="00374A86" w:rsidRDefault="00374A86" w:rsidP="00374A86">
      <w:pPr>
        <w:numPr>
          <w:ilvl w:val="2"/>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2020: 26.22% (highest trading activity).</w:t>
      </w:r>
    </w:p>
    <w:p w:rsidR="00374A86" w:rsidRPr="00374A86" w:rsidRDefault="00374A86" w:rsidP="00374A86">
      <w:pPr>
        <w:numPr>
          <w:ilvl w:val="2"/>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2023: 2.06% (lowest activity).</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26FC8">
        <w:rPr>
          <w:rFonts w:ascii="Times New Roman" w:eastAsia="Times New Roman" w:hAnsi="Times New Roman" w:cs="Times New Roman"/>
          <w:b/>
          <w:bCs/>
          <w:sz w:val="16"/>
          <w:szCs w:val="16"/>
          <w:lang w:eastAsia="en-IN"/>
        </w:rPr>
        <w:t>Quarterly Volumes:</w:t>
      </w:r>
    </w:p>
    <w:p w:rsidR="00374A86" w:rsidRPr="00374A86" w:rsidRDefault="00374A86" w:rsidP="00374A86">
      <w:pPr>
        <w:numPr>
          <w:ilvl w:val="2"/>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Q1 recorded the highest trading volumes (26.06%).</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26FC8">
        <w:rPr>
          <w:rFonts w:ascii="Times New Roman" w:eastAsia="Times New Roman" w:hAnsi="Times New Roman" w:cs="Times New Roman"/>
          <w:b/>
          <w:bCs/>
          <w:sz w:val="16"/>
          <w:szCs w:val="16"/>
          <w:lang w:eastAsia="en-IN"/>
        </w:rPr>
        <w:t>Monthly Volumes:</w:t>
      </w:r>
    </w:p>
    <w:p w:rsidR="00374A86" w:rsidRPr="00374A86" w:rsidRDefault="00374A86" w:rsidP="00374A86">
      <w:pPr>
        <w:numPr>
          <w:ilvl w:val="2"/>
          <w:numId w:val="3"/>
        </w:numPr>
        <w:spacing w:before="100" w:beforeAutospacing="1" w:after="100" w:afterAutospacing="1" w:line="240" w:lineRule="auto"/>
        <w:rPr>
          <w:rFonts w:ascii="Times New Roman" w:eastAsia="Times New Roman" w:hAnsi="Times New Roman" w:cs="Times New Roman"/>
          <w:sz w:val="32"/>
          <w:szCs w:val="24"/>
          <w:lang w:eastAsia="en-IN"/>
        </w:rPr>
      </w:pPr>
      <w:r w:rsidRPr="00374A86">
        <w:rPr>
          <w:rFonts w:ascii="Times New Roman" w:eastAsia="Times New Roman" w:hAnsi="Times New Roman" w:cs="Times New Roman"/>
          <w:sz w:val="16"/>
          <w:szCs w:val="16"/>
          <w:lang w:eastAsia="en-IN"/>
        </w:rPr>
        <w:t>March had the highest activity at 11.43%, while September was one of the lowest.</w:t>
      </w:r>
    </w:p>
    <w:p w:rsidR="00374A86" w:rsidRPr="00374A86" w:rsidRDefault="00374A86" w:rsidP="00374A86">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326FC8">
        <w:rPr>
          <w:rFonts w:ascii="Times New Roman" w:eastAsia="Times New Roman" w:hAnsi="Times New Roman" w:cs="Times New Roman"/>
          <w:b/>
          <w:bCs/>
          <w:sz w:val="20"/>
          <w:szCs w:val="20"/>
          <w:lang w:eastAsia="en-IN"/>
        </w:rPr>
        <w:t>Price Analysis:</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The closing prices closely match opening prices across years, indicating minimal price swings over a single day.</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Highest and lowest prices closely align yearly, reflecting tight price movement.</w:t>
      </w:r>
    </w:p>
    <w:p w:rsidR="00374A86" w:rsidRPr="00374A86" w:rsidRDefault="00374A86" w:rsidP="00374A86">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326FC8">
        <w:rPr>
          <w:rFonts w:ascii="Times New Roman" w:eastAsia="Times New Roman" w:hAnsi="Times New Roman" w:cs="Times New Roman"/>
          <w:b/>
          <w:bCs/>
          <w:sz w:val="20"/>
          <w:szCs w:val="20"/>
          <w:lang w:eastAsia="en-IN"/>
        </w:rPr>
        <w:t>Day-Wise Trends:</w:t>
      </w:r>
    </w:p>
    <w:p w:rsidR="00374A86" w:rsidRPr="00374A86" w:rsidRDefault="00374A86" w:rsidP="00374A86">
      <w:pPr>
        <w:numPr>
          <w:ilvl w:val="1"/>
          <w:numId w:val="3"/>
        </w:numPr>
        <w:spacing w:before="100" w:beforeAutospacing="1" w:after="100" w:afterAutospacing="1" w:line="240" w:lineRule="auto"/>
        <w:rPr>
          <w:rFonts w:ascii="Times New Roman" w:eastAsia="Times New Roman" w:hAnsi="Times New Roman" w:cs="Times New Roman"/>
          <w:sz w:val="16"/>
          <w:szCs w:val="16"/>
          <w:lang w:eastAsia="en-IN"/>
        </w:rPr>
      </w:pPr>
      <w:r w:rsidRPr="00374A86">
        <w:rPr>
          <w:rFonts w:ascii="Times New Roman" w:eastAsia="Times New Roman" w:hAnsi="Times New Roman" w:cs="Times New Roman"/>
          <w:sz w:val="16"/>
          <w:szCs w:val="16"/>
          <w:lang w:eastAsia="en-IN"/>
        </w:rPr>
        <w:t>Mondays and Tuesdays observed peak trading volumes.</w:t>
      </w:r>
    </w:p>
    <w:p w:rsidR="008830EC" w:rsidRPr="00B746AD" w:rsidRDefault="00B746AD" w:rsidP="008830EC">
      <w:pPr>
        <w:numPr>
          <w:ilvl w:val="1"/>
          <w:numId w:val="3"/>
        </w:numPr>
        <w:spacing w:before="100" w:beforeAutospacing="1" w:after="100" w:afterAutospacing="1" w:line="240" w:lineRule="auto"/>
        <w:rPr>
          <w:rFonts w:ascii="Times New Roman" w:eastAsia="Times New Roman" w:hAnsi="Times New Roman" w:cs="Times New Roman"/>
          <w:sz w:val="32"/>
          <w:szCs w:val="24"/>
          <w:lang w:eastAsia="en-IN"/>
        </w:rPr>
      </w:pPr>
      <w:r w:rsidRPr="00B746AD">
        <w:rPr>
          <w:rFonts w:ascii="Times New Roman" w:eastAsia="Times New Roman" w:hAnsi="Times New Roman" w:cs="Times New Roman"/>
          <w:noProof/>
          <w:sz w:val="32"/>
          <w:szCs w:val="24"/>
          <w:lang w:eastAsia="en-IN"/>
        </w:rPr>
        <mc:AlternateContent>
          <mc:Choice Requires="wps">
            <w:drawing>
              <wp:anchor distT="45720" distB="45720" distL="114300" distR="114300" simplePos="0" relativeHeight="251675648" behindDoc="0" locked="0" layoutInCell="1" allowOverlap="1" wp14:anchorId="54B93366" wp14:editId="5FF5B6DB">
                <wp:simplePos x="0" y="0"/>
                <wp:positionH relativeFrom="margin">
                  <wp:align>right</wp:align>
                </wp:positionH>
                <wp:positionV relativeFrom="paragraph">
                  <wp:posOffset>519430</wp:posOffset>
                </wp:positionV>
                <wp:extent cx="5715635" cy="929005"/>
                <wp:effectExtent l="0" t="0" r="1841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929005"/>
                        </a:xfrm>
                        <a:prstGeom prst="rect">
                          <a:avLst/>
                        </a:prstGeom>
                        <a:solidFill>
                          <a:srgbClr val="FFFFFF"/>
                        </a:solidFill>
                        <a:ln w="9525">
                          <a:solidFill>
                            <a:srgbClr val="000000"/>
                          </a:solidFill>
                          <a:miter lim="800000"/>
                          <a:headEnd/>
                          <a:tailEnd/>
                        </a:ln>
                      </wps:spPr>
                      <wps:txbx>
                        <w:txbxContent>
                          <w:p w:rsidR="00B746AD" w:rsidRDefault="00B746AD">
                            <w:r>
                              <w:t xml:space="preserve">The Power BI dashboard provides a detailed </w:t>
                            </w:r>
                            <w:r>
                              <w:rPr>
                                <w:rStyle w:val="Emphasis"/>
                              </w:rPr>
                              <w:t>Market Analysis</w:t>
                            </w:r>
                            <w:r>
                              <w:t xml:space="preserve"> of TCS stocks, showcasing metrics like Opening, Closing, Highest, and Lowest prices. It includes Yearly, Monthly, and Day-wise trends through visuals for performance comparison. Dynamic filters enhance time-specific insights.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B93366" id="_x0000_t202" coordsize="21600,21600" o:spt="202" path="m,l,21600r21600,l21600,xe">
                <v:stroke joinstyle="miter"/>
                <v:path gradientshapeok="t" o:connecttype="rect"/>
              </v:shapetype>
              <v:shape id="Text Box 2" o:spid="_x0000_s1026" type="#_x0000_t202" style="position:absolute;left:0;text-align:left;margin-left:398.85pt;margin-top:40.9pt;width:450.05pt;height:73.1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">
                <v:textbox>
                  <w:txbxContent>
                    <w:p w:rsidR="00B746AD" w:rsidRDefault="00B746AD">
                      <w:r>
                        <w:t xml:space="preserve">The Power BI dashboard provides a detailed </w:t>
                      </w:r>
                      <w:r>
                        <w:rPr>
                          <w:rStyle w:val="Emphasis"/>
                        </w:rPr>
                        <w:t>Market Analysis</w:t>
                      </w:r>
                      <w:r>
                        <w:t xml:space="preserve"> of TCS stocks, showcasing metrics like Opening, Closing, Highest, and Lowest prices. It includes Yearly, Monthly, and Day-wise trends through visuals for performance comparison. Dynamic filters enhance time-specific insights.</w:t>
                      </w:r>
                    </w:p>
                  </w:txbxContent>
                </v:textbox>
                <w10:wrap type="square" anchorx="margin"/>
              </v:shape>
            </w:pict>
          </mc:Fallback>
        </mc:AlternateContent>
      </w:r>
      <w:r w:rsidR="00374A86" w:rsidRPr="00374A86">
        <w:rPr>
          <w:rFonts w:ascii="Times New Roman" w:eastAsia="Times New Roman" w:hAnsi="Times New Roman" w:cs="Times New Roman"/>
          <w:sz w:val="16"/>
          <w:szCs w:val="16"/>
          <w:lang w:eastAsia="en-IN"/>
        </w:rPr>
        <w:t>Weekends (Saturday and Sunday) had the lowest trading activities</w:t>
      </w:r>
      <w:r w:rsidR="00374A86" w:rsidRPr="00374A86">
        <w:rPr>
          <w:rFonts w:ascii="Times New Roman" w:eastAsia="Times New Roman" w:hAnsi="Times New Roman" w:cs="Times New Roman"/>
          <w:sz w:val="32"/>
          <w:szCs w:val="24"/>
          <w:lang w:eastAsia="en-IN"/>
        </w:rPr>
        <w:t>.</w:t>
      </w:r>
    </w:p>
    <w:p w:rsidR="008830EC" w:rsidRPr="008830EC" w:rsidRDefault="00B746AD" w:rsidP="008830EC">
      <w:r>
        <w:rPr>
          <w:noProof/>
          <w:lang w:eastAsia="en-IN"/>
        </w:rPr>
        <w:lastRenderedPageBreak/>
        <mc:AlternateContent>
          <mc:Choice Requires="wps">
            <w:drawing>
              <wp:anchor distT="45720" distB="45720" distL="114300" distR="114300" simplePos="0" relativeHeight="251677696" behindDoc="0" locked="0" layoutInCell="1" allowOverlap="1">
                <wp:simplePos x="0" y="0"/>
                <wp:positionH relativeFrom="margin">
                  <wp:posOffset>1750060</wp:posOffset>
                </wp:positionH>
                <wp:positionV relativeFrom="paragraph">
                  <wp:posOffset>0</wp:posOffset>
                </wp:positionV>
                <wp:extent cx="2366645" cy="239395"/>
                <wp:effectExtent l="0" t="0" r="14605" b="273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645" cy="239395"/>
                        </a:xfrm>
                        <a:prstGeom prst="rect">
                          <a:avLst/>
                        </a:prstGeom>
                        <a:solidFill>
                          <a:srgbClr val="FFFFFF"/>
                        </a:solidFill>
                        <a:ln w="9525">
                          <a:solidFill>
                            <a:srgbClr val="000000"/>
                          </a:solidFill>
                          <a:miter lim="800000"/>
                          <a:headEnd/>
                          <a:tailEnd/>
                        </a:ln>
                      </wps:spPr>
                      <wps:txbx>
                        <w:txbxContent>
                          <w:p w:rsidR="00B746AD" w:rsidRDefault="00B746AD" w:rsidP="00B746AD">
                            <w:pPr>
                              <w:jc w:val="center"/>
                            </w:pPr>
                            <w:r>
                              <w:t>Power BI Dashboards Representation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7.8pt;margin-top:0;width:186.35pt;height:18.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">
                <v:textbox>
                  <w:txbxContent>
                    <w:p w:rsidR="00B746AD" w:rsidRDefault="00B746AD" w:rsidP="00B746AD">
                      <w:pPr>
                        <w:jc w:val="center"/>
                      </w:pPr>
                      <w:r>
                        <w:t>Power BI Dashboards Representation</w:t>
                      </w:r>
                    </w:p>
                  </w:txbxContent>
                </v:textbox>
                <w10:wrap type="square" anchorx="margin"/>
              </v:shape>
            </w:pict>
          </mc:Fallback>
        </mc:AlternateContent>
      </w:r>
    </w:p>
    <w:p w:rsidR="008830EC" w:rsidRPr="008830EC" w:rsidRDefault="00B746AD" w:rsidP="008830EC">
      <w:r>
        <w:rPr>
          <w:rFonts w:ascii="Times New Roman" w:eastAsia="Times New Roman" w:hAnsi="Times New Roman" w:cs="Times New Roman"/>
          <w:noProof/>
          <w:sz w:val="32"/>
          <w:szCs w:val="24"/>
          <w:lang w:eastAsia="en-IN"/>
        </w:rPr>
        <w:drawing>
          <wp:anchor distT="0" distB="0" distL="114300" distR="114300" simplePos="0" relativeHeight="251658240" behindDoc="0" locked="0" layoutInCell="1" allowOverlap="1" wp14:anchorId="3C4B2C1B" wp14:editId="2AE7CA0C">
            <wp:simplePos x="0" y="0"/>
            <wp:positionH relativeFrom="margin">
              <wp:align>left</wp:align>
            </wp:positionH>
            <wp:positionV relativeFrom="paragraph">
              <wp:posOffset>2227</wp:posOffset>
            </wp:positionV>
            <wp:extent cx="5731462" cy="3051018"/>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6 17211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462" cy="3051018"/>
                    </a:xfrm>
                    <a:prstGeom prst="rect">
                      <a:avLst/>
                    </a:prstGeom>
                  </pic:spPr>
                </pic:pic>
              </a:graphicData>
            </a:graphic>
            <wp14:sizeRelV relativeFrom="margin">
              <wp14:pctHeight>0</wp14:pctHeight>
            </wp14:sizeRelV>
          </wp:anchor>
        </w:drawing>
      </w:r>
    </w:p>
    <w:p w:rsidR="008830EC" w:rsidRPr="008830EC" w:rsidRDefault="008830EC" w:rsidP="008830EC"/>
    <w:p w:rsidR="008830EC" w:rsidRPr="008830EC" w:rsidRDefault="008830EC" w:rsidP="008830EC"/>
    <w:p w:rsidR="008830EC" w:rsidRPr="008830EC" w:rsidRDefault="008830EC" w:rsidP="008830EC"/>
    <w:p w:rsidR="00001F39" w:rsidRDefault="00001F39" w:rsidP="008830EC">
      <w:pPr>
        <w:jc w:val="right"/>
      </w:pPr>
    </w:p>
    <w:p w:rsidR="008830EC" w:rsidRDefault="008830EC" w:rsidP="008830EC">
      <w:pPr>
        <w:jc w:val="right"/>
      </w:pPr>
    </w:p>
    <w:p w:rsidR="008830EC" w:rsidRDefault="008830EC" w:rsidP="008830EC">
      <w:pPr>
        <w:jc w:val="right"/>
      </w:pPr>
    </w:p>
    <w:p w:rsidR="00326FC8" w:rsidRDefault="008830EC" w:rsidP="008830EC">
      <w:pPr>
        <w:jc w:val="both"/>
        <w:rPr>
          <w:noProof/>
          <w:lang w:eastAsia="en-IN"/>
        </w:rPr>
      </w:pPr>
      <w:r w:rsidRPr="008830EC">
        <w:rPr>
          <w:noProof/>
          <w:lang w:eastAsia="en-IN"/>
        </w:rPr>
        <w:t xml:space="preserve"> </w:t>
      </w:r>
    </w:p>
    <w:p w:rsidR="00B746AD" w:rsidRDefault="00E40C7F" w:rsidP="00B746AD">
      <w:pPr>
        <w:jc w:val="center"/>
      </w:pPr>
      <w:r>
        <w:rPr>
          <w:noProof/>
          <w:lang w:eastAsia="en-IN"/>
        </w:rPr>
        <mc:AlternateContent>
          <mc:Choice Requires="wps">
            <w:drawing>
              <wp:anchor distT="0" distB="0" distL="114300" distR="114300" simplePos="0" relativeHeight="251680768" behindDoc="0" locked="0" layoutInCell="1" allowOverlap="1" wp14:anchorId="77C6235F" wp14:editId="0747EE2C">
                <wp:simplePos x="0" y="0"/>
                <wp:positionH relativeFrom="column">
                  <wp:posOffset>14670</wp:posOffset>
                </wp:positionH>
                <wp:positionV relativeFrom="paragraph">
                  <wp:posOffset>1194696</wp:posOffset>
                </wp:positionV>
                <wp:extent cx="5691698" cy="821494"/>
                <wp:effectExtent l="0" t="0" r="23495" b="17145"/>
                <wp:wrapNone/>
                <wp:docPr id="25" name="Text Box 25"/>
                <wp:cNvGraphicFramePr/>
                <a:graphic xmlns:a="http://schemas.openxmlformats.org/drawingml/2006/main">
                  <a:graphicData uri="http://schemas.microsoft.com/office/word/2010/wordprocessingShape">
                    <wps:wsp>
                      <wps:cNvSpPr txBox="1"/>
                      <wps:spPr>
                        <a:xfrm>
                          <a:off x="0" y="0"/>
                          <a:ext cx="5691698" cy="821494"/>
                        </a:xfrm>
                        <a:prstGeom prst="rect">
                          <a:avLst/>
                        </a:prstGeom>
                        <a:solidFill>
                          <a:schemeClr val="lt1"/>
                        </a:solidFill>
                        <a:ln w="6350">
                          <a:solidFill>
                            <a:prstClr val="black"/>
                          </a:solidFill>
                        </a:ln>
                      </wps:spPr>
                      <wps:txbx>
                        <w:txbxContent>
                          <w:p w:rsidR="00E40C7F" w:rsidRDefault="00E40C7F" w:rsidP="00E40C7F">
                            <w:r>
                              <w:t>The Excel dashboard provides a comprehensive analysis of TCS stock trading volumes using visualizations like Line Charts, 3D Clustered and Stacked Charts, and Pie Charts. It highlights volume trends by Day, Month, Quarter, and Year, with interactive slicers for easy data filtering and detailed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6235F" id="Text Box 25" o:spid="_x0000_s1028" type="#_x0000_t202" style="position:absolute;left:0;text-align:left;margin-left:1.15pt;margin-top:94.05pt;width:448.15pt;height:6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" fillcolor="white [3201]" strokeweight=".5pt">
                <v:textbox>
                  <w:txbxContent>
                    <w:p w:rsidR="00E40C7F" w:rsidRDefault="00E40C7F" w:rsidP="00E40C7F">
                      <w:r>
                        <w:t>The Excel dashboard provides a comprehensive analysis of TCS stock trading volumes using visualizations like Line Charts, 3D Clustered and Stacked Charts, and Pie Charts. It highlights volume trends by Day, Month, Quarter, and Year, with interactive slicers for easy data filtering and detailed insights.</w:t>
                      </w:r>
                    </w:p>
                  </w:txbxContent>
                </v:textbox>
              </v:shape>
            </w:pict>
          </mc:Fallback>
        </mc:AlternateContent>
      </w:r>
      <w:r w:rsidR="00B746AD" w:rsidRPr="00B746AD">
        <w:rPr>
          <w:noProof/>
          <w:lang w:eastAsia="en-IN"/>
        </w:rPr>
        <mc:AlternateContent>
          <mc:Choice Requires="wps">
            <w:drawing>
              <wp:anchor distT="45720" distB="45720" distL="114300" distR="114300" simplePos="0" relativeHeight="251679744" behindDoc="0" locked="0" layoutInCell="1" allowOverlap="1" wp14:anchorId="6D88CECB" wp14:editId="34724685">
                <wp:simplePos x="0" y="0"/>
                <wp:positionH relativeFrom="margin">
                  <wp:align>center</wp:align>
                </wp:positionH>
                <wp:positionV relativeFrom="paragraph">
                  <wp:posOffset>837124</wp:posOffset>
                </wp:positionV>
                <wp:extent cx="2102485" cy="278130"/>
                <wp:effectExtent l="0" t="0" r="12065" b="266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2485" cy="278130"/>
                        </a:xfrm>
                        <a:prstGeom prst="rect">
                          <a:avLst/>
                        </a:prstGeom>
                        <a:solidFill>
                          <a:srgbClr val="FFFFFF"/>
                        </a:solidFill>
                        <a:ln w="9525">
                          <a:solidFill>
                            <a:srgbClr val="000000"/>
                          </a:solidFill>
                          <a:miter lim="800000"/>
                          <a:headEnd/>
                          <a:tailEnd/>
                        </a:ln>
                      </wps:spPr>
                      <wps:txbx>
                        <w:txbxContent>
                          <w:p w:rsidR="00B746AD" w:rsidRDefault="00E40C7F">
                            <w:r>
                              <w:t>Excel Dashboards Representation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8CECB" id="_x0000_s1029" type="#_x0000_t202" style="position:absolute;left:0;text-align:left;margin-left:0;margin-top:65.9pt;width:165.55pt;height:21.9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QxKAIAAEw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">
                <v:textbox>
                  <w:txbxContent>
                    <w:p w:rsidR="00B746AD" w:rsidRDefault="00E40C7F">
                      <w:r>
                        <w:t>Excel Dashboards Representation</w:t>
                      </w:r>
                    </w:p>
                  </w:txbxContent>
                </v:textbox>
                <w10:wrap type="square" anchorx="margin"/>
              </v:shape>
            </w:pict>
          </mc:Fallback>
        </mc:AlternateContent>
      </w:r>
      <w:r w:rsidR="00B746AD" w:rsidRPr="008830EC">
        <w:drawing>
          <wp:anchor distT="0" distB="0" distL="114300" distR="114300" simplePos="0" relativeHeight="251673600" behindDoc="0" locked="0" layoutInCell="1" allowOverlap="1" wp14:anchorId="1F083110" wp14:editId="184EF700">
            <wp:simplePos x="0" y="0"/>
            <wp:positionH relativeFrom="margin">
              <wp:align>left</wp:align>
            </wp:positionH>
            <wp:positionV relativeFrom="paragraph">
              <wp:posOffset>2077316</wp:posOffset>
            </wp:positionV>
            <wp:extent cx="5731510" cy="421259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anchor>
        </w:drawing>
      </w:r>
      <w:r w:rsidR="00326FC8">
        <w:rPr>
          <w:noProof/>
          <w:lang w:eastAsia="en-IN"/>
        </w:rPr>
        <w:br w:type="page"/>
      </w:r>
    </w:p>
    <w:p w:rsidR="00326FC8" w:rsidRDefault="00E40C7F">
      <w:pPr>
        <w:rPr>
          <w:noProof/>
          <w:lang w:eastAsia="en-IN"/>
        </w:rPr>
      </w:pPr>
      <w:r w:rsidRPr="00E40C7F">
        <w:rPr>
          <w:noProof/>
          <w:lang w:eastAsia="en-IN"/>
        </w:rPr>
        <w:lastRenderedPageBreak/>
        <mc:AlternateContent>
          <mc:Choice Requires="wps">
            <w:drawing>
              <wp:anchor distT="45720" distB="45720" distL="114300" distR="114300" simplePos="0" relativeHeight="251685888" behindDoc="0" locked="0" layoutInCell="1" allowOverlap="1" wp14:anchorId="14EE50F7" wp14:editId="15A4C5C9">
                <wp:simplePos x="0" y="0"/>
                <wp:positionH relativeFrom="margin">
                  <wp:align>right</wp:align>
                </wp:positionH>
                <wp:positionV relativeFrom="paragraph">
                  <wp:posOffset>449580</wp:posOffset>
                </wp:positionV>
                <wp:extent cx="5715635" cy="889635"/>
                <wp:effectExtent l="0" t="0" r="18415" b="2476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889635"/>
                        </a:xfrm>
                        <a:prstGeom prst="rect">
                          <a:avLst/>
                        </a:prstGeom>
                        <a:solidFill>
                          <a:srgbClr val="FFFFFF"/>
                        </a:solidFill>
                        <a:ln w="9525">
                          <a:solidFill>
                            <a:srgbClr val="000000"/>
                          </a:solidFill>
                          <a:miter lim="800000"/>
                          <a:headEnd/>
                          <a:tailEnd/>
                        </a:ln>
                      </wps:spPr>
                      <wps:txbx>
                        <w:txbxContent>
                          <w:p w:rsidR="00E40C7F" w:rsidRDefault="00E40C7F">
                            <w:r>
                              <w:t>This Power BI dashboard provides an in-depth analysis of TCS stock performance, showcasing Quarterly and Yearly Stock trends through line graphs. It also includes detailed visualizations of trading volumes, segmented by Year, Quarter, Month, and Day, using donut charts to highlight proportional data distributions.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E50F7" id="_x0000_s1030" type="#_x0000_t202" style="position:absolute;margin-left:398.85pt;margin-top:35.4pt;width:450.05pt;height:70.0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BUjJQIAAEwEAAAOAAAAZHJzL2Uyb0RvYy54bWysVNtu2zAMfR+wfxD0vjjx4j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">
                <v:textbox>
                  <w:txbxContent>
                    <w:p w:rsidR="00E40C7F" w:rsidRDefault="00E40C7F">
                      <w:r>
                        <w:t>This Power BI dashboard provides an in-depth analysis of TCS stock performance, showcasing Quarterly and Yearly Stock trends through line graphs. It also includes detailed visualizations of trading volumes, segmented by Year, Quarter, Month, and Day, using donut charts to highlight proportional data distributions.</w:t>
                      </w:r>
                    </w:p>
                  </w:txbxContent>
                </v:textbox>
                <w10:wrap type="square" anchorx="margin"/>
              </v:shape>
            </w:pict>
          </mc:Fallback>
        </mc:AlternateContent>
      </w:r>
      <w:r w:rsidRPr="00E40C7F">
        <w:rPr>
          <w:noProof/>
          <w:lang w:eastAsia="en-IN"/>
        </w:rPr>
        <mc:AlternateContent>
          <mc:Choice Requires="wps">
            <w:drawing>
              <wp:anchor distT="45720" distB="45720" distL="114300" distR="114300" simplePos="0" relativeHeight="251682816" behindDoc="0" locked="0" layoutInCell="1" allowOverlap="1" wp14:anchorId="6D447061" wp14:editId="75983A90">
                <wp:simplePos x="0" y="0"/>
                <wp:positionH relativeFrom="margin">
                  <wp:align>center</wp:align>
                </wp:positionH>
                <wp:positionV relativeFrom="paragraph">
                  <wp:posOffset>-890</wp:posOffset>
                </wp:positionV>
                <wp:extent cx="2993567" cy="263525"/>
                <wp:effectExtent l="0" t="0" r="16510" b="222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3567" cy="263525"/>
                        </a:xfrm>
                        <a:prstGeom prst="rect">
                          <a:avLst/>
                        </a:prstGeom>
                        <a:solidFill>
                          <a:srgbClr val="FFFFFF"/>
                        </a:solidFill>
                        <a:ln w="9525">
                          <a:solidFill>
                            <a:srgbClr val="000000"/>
                          </a:solidFill>
                          <a:miter lim="800000"/>
                          <a:headEnd/>
                          <a:tailEnd/>
                        </a:ln>
                      </wps:spPr>
                      <wps:txbx>
                        <w:txbxContent>
                          <w:p w:rsidR="00E40C7F" w:rsidRDefault="00E40C7F" w:rsidP="00E40C7F">
                            <w:pPr>
                              <w:jc w:val="center"/>
                            </w:pPr>
                            <w:r>
                              <w:t>Power BI Dashboards Representation</w:t>
                            </w:r>
                          </w:p>
                          <w:p w:rsidR="00E40C7F" w:rsidRDefault="00E40C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47061" id="_x0000_s1031" type="#_x0000_t202" style="position:absolute;margin-left:0;margin-top:-.05pt;width:235.7pt;height:20.7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">
                <v:textbox>
                  <w:txbxContent>
                    <w:p w:rsidR="00E40C7F" w:rsidRDefault="00E40C7F" w:rsidP="00E40C7F">
                      <w:pPr>
                        <w:jc w:val="center"/>
                      </w:pPr>
                      <w:r>
                        <w:t>Power BI Dashboards Representation</w:t>
                      </w:r>
                    </w:p>
                    <w:p w:rsidR="00E40C7F" w:rsidRDefault="00E40C7F"/>
                  </w:txbxContent>
                </v:textbox>
                <w10:wrap anchorx="margin"/>
              </v:shape>
            </w:pict>
          </mc:Fallback>
        </mc:AlternateContent>
      </w:r>
    </w:p>
    <w:p w:rsidR="00E40C7F" w:rsidRDefault="00E40C7F">
      <w:pPr>
        <w:rPr>
          <w:noProof/>
          <w:lang w:eastAsia="en-IN"/>
        </w:rPr>
      </w:pPr>
      <w:r w:rsidRPr="008B5C20">
        <w:drawing>
          <wp:anchor distT="0" distB="0" distL="114300" distR="114300" simplePos="0" relativeHeight="251683840" behindDoc="0" locked="0" layoutInCell="1" allowOverlap="1" wp14:anchorId="6C0B93EE" wp14:editId="133707C7">
            <wp:simplePos x="0" y="0"/>
            <wp:positionH relativeFrom="margin">
              <wp:align>left</wp:align>
            </wp:positionH>
            <wp:positionV relativeFrom="paragraph">
              <wp:posOffset>1128049</wp:posOffset>
            </wp:positionV>
            <wp:extent cx="5730875" cy="350583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0875" cy="3505835"/>
                    </a:xfrm>
                    <a:prstGeom prst="rect">
                      <a:avLst/>
                    </a:prstGeom>
                  </pic:spPr>
                </pic:pic>
              </a:graphicData>
            </a:graphic>
          </wp:anchor>
        </w:drawing>
      </w:r>
    </w:p>
    <w:p w:rsidR="008B3CFE" w:rsidRDefault="008B3CFE">
      <w:pPr>
        <w:rPr>
          <w:noProof/>
          <w:lang w:eastAsia="en-IN"/>
        </w:rPr>
      </w:pPr>
      <w:r w:rsidRPr="008830EC">
        <w:drawing>
          <wp:anchor distT="0" distB="0" distL="114300" distR="114300" simplePos="0" relativeHeight="251687936" behindDoc="0" locked="0" layoutInCell="1" allowOverlap="1" wp14:anchorId="0651444C" wp14:editId="76B5C9A9">
            <wp:simplePos x="0" y="0"/>
            <wp:positionH relativeFrom="margin">
              <wp:align>right</wp:align>
            </wp:positionH>
            <wp:positionV relativeFrom="paragraph">
              <wp:posOffset>3825179</wp:posOffset>
            </wp:positionV>
            <wp:extent cx="2796095" cy="3334259"/>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96095" cy="3334259"/>
                    </a:xfrm>
                    <a:prstGeom prst="rect">
                      <a:avLst/>
                    </a:prstGeom>
                  </pic:spPr>
                </pic:pic>
              </a:graphicData>
            </a:graphic>
            <wp14:sizeRelV relativeFrom="margin">
              <wp14:pctHeight>0</wp14:pctHeight>
            </wp14:sizeRelV>
          </wp:anchor>
        </w:drawing>
      </w:r>
      <w:r w:rsidRPr="008830EC">
        <w:drawing>
          <wp:anchor distT="0" distB="0" distL="114300" distR="114300" simplePos="0" relativeHeight="251686912" behindDoc="0" locked="0" layoutInCell="1" allowOverlap="1" wp14:anchorId="37063F1F" wp14:editId="05B0634E">
            <wp:simplePos x="0" y="0"/>
            <wp:positionH relativeFrom="margin">
              <wp:posOffset>44009</wp:posOffset>
            </wp:positionH>
            <wp:positionV relativeFrom="paragraph">
              <wp:posOffset>3830070</wp:posOffset>
            </wp:positionV>
            <wp:extent cx="2869485" cy="3329896"/>
            <wp:effectExtent l="0" t="0" r="762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92892" cy="3357058"/>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5ADE4F0C" wp14:editId="1D8B638A">
                <wp:simplePos x="0" y="0"/>
                <wp:positionH relativeFrom="margin">
                  <wp:align>center</wp:align>
                </wp:positionH>
                <wp:positionV relativeFrom="paragraph">
                  <wp:posOffset>3496106</wp:posOffset>
                </wp:positionV>
                <wp:extent cx="2102485" cy="278130"/>
                <wp:effectExtent l="0" t="0" r="12065" b="26670"/>
                <wp:wrapNone/>
                <wp:docPr id="28" name="Text Box 28"/>
                <wp:cNvGraphicFramePr/>
                <a:graphic xmlns:a="http://schemas.openxmlformats.org/drawingml/2006/main">
                  <a:graphicData uri="http://schemas.microsoft.com/office/word/2010/wordprocessingShape">
                    <wps:wsp>
                      <wps:cNvSpPr txBox="1"/>
                      <wps:spPr>
                        <a:xfrm>
                          <a:off x="0" y="0"/>
                          <a:ext cx="2102485" cy="278130"/>
                        </a:xfrm>
                        <a:prstGeom prst="rect">
                          <a:avLst/>
                        </a:prstGeom>
                        <a:noFill/>
                        <a:ln w="6350">
                          <a:solidFill>
                            <a:prstClr val="black"/>
                          </a:solidFill>
                        </a:ln>
                      </wps:spPr>
                      <wps:txbx>
                        <w:txbxContent>
                          <w:p w:rsidR="008B3CFE" w:rsidRDefault="008B3CFE">
                            <w:r>
                              <w:t>Excel Dashboards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E4F0C" id="Text Box 28" o:spid="_x0000_s1032" type="#_x0000_t202" style="position:absolute;margin-left:0;margin-top:275.3pt;width:165.55pt;height:21.9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" filled="f" strokeweight=".5pt">
                <v:fill o:detectmouseclick="t"/>
                <v:textbox>
                  <w:txbxContent>
                    <w:p w:rsidR="008B3CFE" w:rsidRDefault="008B3CFE">
                      <w:r>
                        <w:t>Excel Dashboards Representation</w:t>
                      </w:r>
                    </w:p>
                  </w:txbxContent>
                </v:textbox>
                <w10:wrap anchorx="margin"/>
              </v:shape>
            </w:pict>
          </mc:Fallback>
        </mc:AlternateContent>
      </w:r>
      <w:r w:rsidR="00E40C7F" w:rsidRPr="00E40C7F">
        <w:rPr>
          <w:lang w:eastAsia="en-IN"/>
        </w:rPr>
        <w:br w:type="page"/>
      </w:r>
    </w:p>
    <w:p w:rsidR="008B3CFE" w:rsidRDefault="008B3CFE">
      <w:pPr>
        <w:rPr>
          <w:lang w:eastAsia="en-IN"/>
        </w:rPr>
      </w:pPr>
      <w:r w:rsidRPr="008B3CFE">
        <w:rPr>
          <w:noProof/>
          <w:lang w:eastAsia="en-IN"/>
        </w:rPr>
        <w:lastRenderedPageBreak/>
        <mc:AlternateContent>
          <mc:Choice Requires="wps">
            <w:drawing>
              <wp:anchor distT="45720" distB="45720" distL="114300" distR="114300" simplePos="0" relativeHeight="251692032" behindDoc="0" locked="0" layoutInCell="1" allowOverlap="1" wp14:anchorId="27A90E63" wp14:editId="1B99A36A">
                <wp:simplePos x="0" y="0"/>
                <wp:positionH relativeFrom="margin">
                  <wp:align>right</wp:align>
                </wp:positionH>
                <wp:positionV relativeFrom="paragraph">
                  <wp:posOffset>0</wp:posOffset>
                </wp:positionV>
                <wp:extent cx="5715635" cy="3750310"/>
                <wp:effectExtent l="0" t="0" r="18415" b="215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3750310"/>
                        </a:xfrm>
                        <a:prstGeom prst="rect">
                          <a:avLst/>
                        </a:prstGeom>
                        <a:solidFill>
                          <a:srgbClr val="FFFFFF"/>
                        </a:solidFill>
                        <a:ln w="9525">
                          <a:solidFill>
                            <a:srgbClr val="000000"/>
                          </a:solidFill>
                          <a:miter lim="800000"/>
                          <a:headEnd/>
                          <a:tailEnd/>
                        </a:ln>
                      </wps:spPr>
                      <wps:txbx>
                        <w:txbxContent>
                          <w:p w:rsidR="008B3CFE" w:rsidRPr="00325AE8" w:rsidRDefault="008B3CFE" w:rsidP="008B3CFE">
                            <w:pPr>
                              <w:pStyle w:val="NormalWeb"/>
                              <w:rPr>
                                <w:sz w:val="16"/>
                              </w:rPr>
                            </w:pPr>
                            <w:bookmarkStart w:id="0" w:name="_GoBack"/>
                            <w:r w:rsidRPr="00325AE8">
                              <w:rPr>
                                <w:sz w:val="16"/>
                              </w:rPr>
                              <w:t>The Excel dashboard provides a comprehensive overview of the data distribution across various time dimensions, with visual and tabular representations. The report includes analyses of "Tata Volume" segmented by day of the week, month, year, and quarter. Here are the key highlights:</w:t>
                            </w:r>
                          </w:p>
                          <w:p w:rsidR="008B3CFE" w:rsidRPr="00325AE8" w:rsidRDefault="008B3CFE" w:rsidP="008B3CFE">
                            <w:pPr>
                              <w:pStyle w:val="Heading3"/>
                              <w:rPr>
                                <w:sz w:val="16"/>
                              </w:rPr>
                            </w:pPr>
                            <w:r w:rsidRPr="00325AE8">
                              <w:rPr>
                                <w:rStyle w:val="Strong"/>
                                <w:b w:val="0"/>
                                <w:bCs w:val="0"/>
                                <w:sz w:val="16"/>
                              </w:rPr>
                              <w:t>Volume Per Day</w:t>
                            </w:r>
                          </w:p>
                          <w:p w:rsidR="008B3CFE" w:rsidRPr="00325AE8" w:rsidRDefault="008B3CFE" w:rsidP="008B3CFE">
                            <w:pPr>
                              <w:pStyle w:val="NormalWeb"/>
                              <w:rPr>
                                <w:sz w:val="16"/>
                              </w:rPr>
                            </w:pPr>
                            <w:r w:rsidRPr="00325AE8">
                              <w:rPr>
                                <w:sz w:val="16"/>
                              </w:rPr>
                              <w:t>The daily distribution shows the highest activity on Monday (227) and the lowest on Sunday (69). The trend indicates a decline during the weekend, suggesting a pattern of decreased engagement or operations.</w:t>
                            </w:r>
                          </w:p>
                          <w:p w:rsidR="008B3CFE" w:rsidRPr="00325AE8" w:rsidRDefault="008B3CFE" w:rsidP="008B3CFE">
                            <w:pPr>
                              <w:pStyle w:val="Heading3"/>
                              <w:rPr>
                                <w:sz w:val="16"/>
                              </w:rPr>
                            </w:pPr>
                            <w:r w:rsidRPr="00325AE8">
                              <w:rPr>
                                <w:rStyle w:val="Strong"/>
                                <w:b w:val="0"/>
                                <w:bCs w:val="0"/>
                                <w:sz w:val="16"/>
                              </w:rPr>
                              <w:t>Volume Per Month</w:t>
                            </w:r>
                          </w:p>
                          <w:p w:rsidR="008B3CFE" w:rsidRPr="00325AE8" w:rsidRDefault="008B3CFE" w:rsidP="008B3CFE">
                            <w:pPr>
                              <w:pStyle w:val="NormalWeb"/>
                              <w:rPr>
                                <w:sz w:val="16"/>
                              </w:rPr>
                            </w:pPr>
                            <w:r w:rsidRPr="00325AE8">
                              <w:rPr>
                                <w:sz w:val="16"/>
                              </w:rPr>
                              <w:t>Monthly data displays relatively consistent volumes, with slight fluctuations. February exhibits the lowest volume (92), while June and December peak at 106. This suggests cyclical variations, possibly influenced by seasonal or operational factors.</w:t>
                            </w:r>
                          </w:p>
                          <w:p w:rsidR="008B3CFE" w:rsidRPr="00325AE8" w:rsidRDefault="008B3CFE" w:rsidP="008B3CFE">
                            <w:pPr>
                              <w:pStyle w:val="Heading3"/>
                              <w:rPr>
                                <w:sz w:val="16"/>
                              </w:rPr>
                            </w:pPr>
                            <w:r w:rsidRPr="00325AE8">
                              <w:rPr>
                                <w:rStyle w:val="Strong"/>
                                <w:b w:val="0"/>
                                <w:bCs w:val="0"/>
                                <w:sz w:val="16"/>
                              </w:rPr>
                              <w:t>Volume Per Year</w:t>
                            </w:r>
                          </w:p>
                          <w:p w:rsidR="008B3CFE" w:rsidRPr="00325AE8" w:rsidRDefault="008B3CFE" w:rsidP="008B3CFE">
                            <w:pPr>
                              <w:pStyle w:val="NormalWeb"/>
                              <w:rPr>
                                <w:sz w:val="16"/>
                              </w:rPr>
                            </w:pPr>
                            <w:r w:rsidRPr="00325AE8">
                              <w:rPr>
                                <w:sz w:val="16"/>
                              </w:rPr>
                              <w:t>Yearly trends highlight growth from 2018 (195) to 2020 (254), followed by a slight decline in 2022 (246). The significant drop in 2023 (46) reflects incomplete data or a reduction in activities for the year.</w:t>
                            </w:r>
                          </w:p>
                          <w:p w:rsidR="008B3CFE" w:rsidRPr="00325AE8" w:rsidRDefault="008B3CFE" w:rsidP="008B3CFE">
                            <w:pPr>
                              <w:pStyle w:val="Heading3"/>
                              <w:rPr>
                                <w:sz w:val="16"/>
                              </w:rPr>
                            </w:pPr>
                            <w:r w:rsidRPr="00325AE8">
                              <w:rPr>
                                <w:rStyle w:val="Strong"/>
                                <w:b w:val="0"/>
                                <w:bCs w:val="0"/>
                                <w:sz w:val="16"/>
                              </w:rPr>
                              <w:t>Volume Per Quarter</w:t>
                            </w:r>
                          </w:p>
                          <w:p w:rsidR="008B3CFE" w:rsidRPr="00325AE8" w:rsidRDefault="008B3CFE" w:rsidP="008B3CFE">
                            <w:pPr>
                              <w:pStyle w:val="NormalWeb"/>
                              <w:rPr>
                                <w:sz w:val="16"/>
                              </w:rPr>
                            </w:pPr>
                            <w:r w:rsidRPr="00325AE8">
                              <w:rPr>
                                <w:sz w:val="16"/>
                              </w:rPr>
                              <w:t>Quarterly data shows balanced contributions, with each quarter accounting for approximately 8% to 9% of the total. The pie chart emphasizes consistent distribution across quarters, with Q6 showing a slight peak (109).</w:t>
                            </w:r>
                          </w:p>
                          <w:p w:rsidR="008B3CFE" w:rsidRPr="00325AE8" w:rsidRDefault="008B3CFE" w:rsidP="008B3CFE">
                            <w:pPr>
                              <w:pStyle w:val="NormalWeb"/>
                              <w:rPr>
                                <w:sz w:val="16"/>
                              </w:rPr>
                            </w:pPr>
                            <w:r w:rsidRPr="00325AE8">
                              <w:rPr>
                                <w:sz w:val="16"/>
                              </w:rPr>
                              <w:t>This dashboard is effective for monitoring trends, identifying patterns, and aiding in strategic decision-making. It demonstrates a robust data visualization approach for better understanding performance and operations.</w:t>
                            </w:r>
                          </w:p>
                          <w:bookmarkEnd w:id="0"/>
                          <w:p w:rsidR="008B3CFE" w:rsidRPr="00325AE8" w:rsidRDefault="008B3CF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90E63" id="_x0000_s1033" type="#_x0000_t202" style="position:absolute;margin-left:398.85pt;margin-top:0;width:450.05pt;height:295.3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">
                <v:textbox>
                  <w:txbxContent>
                    <w:p w:rsidR="008B3CFE" w:rsidRPr="00325AE8" w:rsidRDefault="008B3CFE" w:rsidP="008B3CFE">
                      <w:pPr>
                        <w:pStyle w:val="NormalWeb"/>
                        <w:rPr>
                          <w:sz w:val="16"/>
                        </w:rPr>
                      </w:pPr>
                      <w:bookmarkStart w:id="1" w:name="_GoBack"/>
                      <w:r w:rsidRPr="00325AE8">
                        <w:rPr>
                          <w:sz w:val="16"/>
                        </w:rPr>
                        <w:t>The Excel dashboard provides a comprehensive overview of the data distribution across various time dimensions, with visual and tabular representations. The report includes analyses of "Tata Volume" segmented by day of the week, month, year, and quarter. Here are the key highlights:</w:t>
                      </w:r>
                    </w:p>
                    <w:p w:rsidR="008B3CFE" w:rsidRPr="00325AE8" w:rsidRDefault="008B3CFE" w:rsidP="008B3CFE">
                      <w:pPr>
                        <w:pStyle w:val="Heading3"/>
                        <w:rPr>
                          <w:sz w:val="16"/>
                        </w:rPr>
                      </w:pPr>
                      <w:r w:rsidRPr="00325AE8">
                        <w:rPr>
                          <w:rStyle w:val="Strong"/>
                          <w:b w:val="0"/>
                          <w:bCs w:val="0"/>
                          <w:sz w:val="16"/>
                        </w:rPr>
                        <w:t>Volume Per Day</w:t>
                      </w:r>
                    </w:p>
                    <w:p w:rsidR="008B3CFE" w:rsidRPr="00325AE8" w:rsidRDefault="008B3CFE" w:rsidP="008B3CFE">
                      <w:pPr>
                        <w:pStyle w:val="NormalWeb"/>
                        <w:rPr>
                          <w:sz w:val="16"/>
                        </w:rPr>
                      </w:pPr>
                      <w:r w:rsidRPr="00325AE8">
                        <w:rPr>
                          <w:sz w:val="16"/>
                        </w:rPr>
                        <w:t>The daily distribution shows the highest activity on Monday (227) and the lowest on Sunday (69). The trend indicates a decline during the weekend, suggesting a pattern of decreased engagement or operations.</w:t>
                      </w:r>
                    </w:p>
                    <w:p w:rsidR="008B3CFE" w:rsidRPr="00325AE8" w:rsidRDefault="008B3CFE" w:rsidP="008B3CFE">
                      <w:pPr>
                        <w:pStyle w:val="Heading3"/>
                        <w:rPr>
                          <w:sz w:val="16"/>
                        </w:rPr>
                      </w:pPr>
                      <w:r w:rsidRPr="00325AE8">
                        <w:rPr>
                          <w:rStyle w:val="Strong"/>
                          <w:b w:val="0"/>
                          <w:bCs w:val="0"/>
                          <w:sz w:val="16"/>
                        </w:rPr>
                        <w:t>Volume Per Month</w:t>
                      </w:r>
                    </w:p>
                    <w:p w:rsidR="008B3CFE" w:rsidRPr="00325AE8" w:rsidRDefault="008B3CFE" w:rsidP="008B3CFE">
                      <w:pPr>
                        <w:pStyle w:val="NormalWeb"/>
                        <w:rPr>
                          <w:sz w:val="16"/>
                        </w:rPr>
                      </w:pPr>
                      <w:r w:rsidRPr="00325AE8">
                        <w:rPr>
                          <w:sz w:val="16"/>
                        </w:rPr>
                        <w:t>Monthly data displays relatively consistent volumes, with slight fluctuations. February exhibits the lowest volume (92), while June and December peak at 106. This suggests cyclical variations, possibly influenced by seasonal or operational factors.</w:t>
                      </w:r>
                    </w:p>
                    <w:p w:rsidR="008B3CFE" w:rsidRPr="00325AE8" w:rsidRDefault="008B3CFE" w:rsidP="008B3CFE">
                      <w:pPr>
                        <w:pStyle w:val="Heading3"/>
                        <w:rPr>
                          <w:sz w:val="16"/>
                        </w:rPr>
                      </w:pPr>
                      <w:r w:rsidRPr="00325AE8">
                        <w:rPr>
                          <w:rStyle w:val="Strong"/>
                          <w:b w:val="0"/>
                          <w:bCs w:val="0"/>
                          <w:sz w:val="16"/>
                        </w:rPr>
                        <w:t>Volume Per Year</w:t>
                      </w:r>
                    </w:p>
                    <w:p w:rsidR="008B3CFE" w:rsidRPr="00325AE8" w:rsidRDefault="008B3CFE" w:rsidP="008B3CFE">
                      <w:pPr>
                        <w:pStyle w:val="NormalWeb"/>
                        <w:rPr>
                          <w:sz w:val="16"/>
                        </w:rPr>
                      </w:pPr>
                      <w:r w:rsidRPr="00325AE8">
                        <w:rPr>
                          <w:sz w:val="16"/>
                        </w:rPr>
                        <w:t>Yearly trends highlight growth from 2018 (195) to 2020 (254), followed by a slight decline in 2022 (246). The significant drop in 2023 (46) reflects incomplete data or a reduction in activities for the year.</w:t>
                      </w:r>
                    </w:p>
                    <w:p w:rsidR="008B3CFE" w:rsidRPr="00325AE8" w:rsidRDefault="008B3CFE" w:rsidP="008B3CFE">
                      <w:pPr>
                        <w:pStyle w:val="Heading3"/>
                        <w:rPr>
                          <w:sz w:val="16"/>
                        </w:rPr>
                      </w:pPr>
                      <w:r w:rsidRPr="00325AE8">
                        <w:rPr>
                          <w:rStyle w:val="Strong"/>
                          <w:b w:val="0"/>
                          <w:bCs w:val="0"/>
                          <w:sz w:val="16"/>
                        </w:rPr>
                        <w:t>Volume Per Quarter</w:t>
                      </w:r>
                    </w:p>
                    <w:p w:rsidR="008B3CFE" w:rsidRPr="00325AE8" w:rsidRDefault="008B3CFE" w:rsidP="008B3CFE">
                      <w:pPr>
                        <w:pStyle w:val="NormalWeb"/>
                        <w:rPr>
                          <w:sz w:val="16"/>
                        </w:rPr>
                      </w:pPr>
                      <w:r w:rsidRPr="00325AE8">
                        <w:rPr>
                          <w:sz w:val="16"/>
                        </w:rPr>
                        <w:t>Quarterly data shows balanced contributions, with each quarter accounting for approximately 8% to 9% of the total. The pie chart emphasizes consistent distribution across quarters, with Q6 showing a slight peak (109).</w:t>
                      </w:r>
                    </w:p>
                    <w:p w:rsidR="008B3CFE" w:rsidRPr="00325AE8" w:rsidRDefault="008B3CFE" w:rsidP="008B3CFE">
                      <w:pPr>
                        <w:pStyle w:val="NormalWeb"/>
                        <w:rPr>
                          <w:sz w:val="16"/>
                        </w:rPr>
                      </w:pPr>
                      <w:r w:rsidRPr="00325AE8">
                        <w:rPr>
                          <w:sz w:val="16"/>
                        </w:rPr>
                        <w:t>This dashboard is effective for monitoring trends, identifying patterns, and aiding in strategic decision-making. It demonstrates a robust data visualization approach for better understanding performance and operations.</w:t>
                      </w:r>
                    </w:p>
                    <w:bookmarkEnd w:id="1"/>
                    <w:p w:rsidR="008B3CFE" w:rsidRPr="00325AE8" w:rsidRDefault="008B3CFE">
                      <w:pPr>
                        <w:rPr>
                          <w:sz w:val="14"/>
                        </w:rPr>
                      </w:pPr>
                    </w:p>
                  </w:txbxContent>
                </v:textbox>
                <w10:wrap type="square" anchorx="margin"/>
              </v:shape>
            </w:pict>
          </mc:Fallback>
        </mc:AlternateContent>
      </w:r>
      <w:r w:rsidRPr="008B5C20">
        <w:drawing>
          <wp:inline distT="0" distB="0" distL="0" distR="0" wp14:anchorId="780E8A5F" wp14:editId="60DF4FBA">
            <wp:extent cx="3056150" cy="360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3712" cy="3671499"/>
                    </a:xfrm>
                    <a:prstGeom prst="rect">
                      <a:avLst/>
                    </a:prstGeom>
                  </pic:spPr>
                </pic:pic>
              </a:graphicData>
            </a:graphic>
          </wp:inline>
        </w:drawing>
      </w:r>
      <w:r w:rsidRPr="008B5C20">
        <w:drawing>
          <wp:inline distT="0" distB="0" distL="0" distR="0" wp14:anchorId="48DA1F76" wp14:editId="72F5CBB4">
            <wp:extent cx="2653030" cy="3601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255" cy="3785015"/>
                    </a:xfrm>
                    <a:prstGeom prst="rect">
                      <a:avLst/>
                    </a:prstGeom>
                  </pic:spPr>
                </pic:pic>
              </a:graphicData>
            </a:graphic>
          </wp:inline>
        </w:drawing>
      </w:r>
    </w:p>
    <w:p w:rsidR="008B5C20" w:rsidRDefault="00B746AD" w:rsidP="008B3CFE">
      <w:pPr>
        <w:rPr>
          <w:noProof/>
          <w:lang w:eastAsia="en-IN"/>
        </w:rPr>
      </w:pPr>
      <w:r w:rsidRPr="008B3CFE">
        <w:rPr>
          <w:lang w:eastAsia="en-IN"/>
        </w:rPr>
        <w:br w:type="page"/>
      </w:r>
    </w:p>
    <w:p w:rsidR="008B5C20" w:rsidRDefault="008B5C20" w:rsidP="008B5C20">
      <w:pPr>
        <w:jc w:val="both"/>
        <w:rPr>
          <w:noProof/>
          <w:lang w:eastAsia="en-IN"/>
        </w:rPr>
      </w:pPr>
      <w:r>
        <w:lastRenderedPageBreak/>
        <w:pict>
          <v:rect id="_x0000_i1042" style="width:0;height:1.5pt" o:hralign="center" o:hrstd="t" o:hr="t" fillcolor="#a0a0a0" stroked="f"/>
        </w:pict>
      </w:r>
    </w:p>
    <w:p w:rsidR="008B5C20" w:rsidRPr="00326FC8" w:rsidRDefault="008B3CFE" w:rsidP="008B5C20">
      <w:pPr>
        <w:pStyle w:val="Heading4"/>
        <w:numPr>
          <w:ilvl w:val="0"/>
          <w:numId w:val="3"/>
        </w:numPr>
        <w:rPr>
          <w:rStyle w:val="Strong"/>
          <w:b/>
          <w:bCs/>
        </w:rPr>
      </w:pPr>
      <w:r w:rsidRPr="00326FC8">
        <w:rPr>
          <w:rStyle w:val="Strong"/>
          <w:b/>
          <w:bCs/>
          <w:noProof/>
        </w:rPr>
        <w:drawing>
          <wp:anchor distT="0" distB="0" distL="114300" distR="114300" simplePos="0" relativeHeight="251659264" behindDoc="0" locked="0" layoutInCell="1" allowOverlap="1" wp14:anchorId="3E99BA90" wp14:editId="2A96F8CF">
            <wp:simplePos x="0" y="0"/>
            <wp:positionH relativeFrom="margin">
              <wp:align>left</wp:align>
            </wp:positionH>
            <wp:positionV relativeFrom="paragraph">
              <wp:posOffset>339541</wp:posOffset>
            </wp:positionV>
            <wp:extent cx="3009418" cy="67119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418" cy="671195"/>
                    </a:xfrm>
                    <a:prstGeom prst="rect">
                      <a:avLst/>
                    </a:prstGeom>
                    <a:noFill/>
                  </pic:spPr>
                </pic:pic>
              </a:graphicData>
            </a:graphic>
            <wp14:sizeRelH relativeFrom="margin">
              <wp14:pctWidth>0</wp14:pctWidth>
            </wp14:sizeRelH>
            <wp14:sizeRelV relativeFrom="margin">
              <wp14:pctHeight>0</wp14:pctHeight>
            </wp14:sizeRelV>
          </wp:anchor>
        </w:drawing>
      </w:r>
      <w:r w:rsidR="007F027C" w:rsidRPr="007F027C">
        <w:t xml:space="preserve"> </w:t>
      </w:r>
      <w:r w:rsidR="008B5C20" w:rsidRPr="00326FC8">
        <w:rPr>
          <w:rStyle w:val="Strong"/>
          <w:b/>
          <w:bCs/>
        </w:rPr>
        <w:t>Queries Applied</w:t>
      </w:r>
      <w:r w:rsidR="008B5C20" w:rsidRPr="00326FC8">
        <w:rPr>
          <w:rStyle w:val="Strong"/>
          <w:b/>
          <w:bCs/>
        </w:rPr>
        <w:t xml:space="preserve"> Using SQL: </w:t>
      </w:r>
    </w:p>
    <w:p w:rsidR="007F027C" w:rsidRDefault="007F027C" w:rsidP="007F027C">
      <w:pPr>
        <w:pStyle w:val="Heading4"/>
        <w:ind w:left="720"/>
        <w:rPr>
          <w:rStyle w:val="Strong"/>
          <w:b/>
          <w:bCs/>
        </w:rPr>
      </w:pPr>
    </w:p>
    <w:p w:rsidR="007F027C" w:rsidRPr="007F027C" w:rsidRDefault="007F027C" w:rsidP="007F027C">
      <w:pPr>
        <w:pStyle w:val="NormalWeb"/>
        <w:rPr>
          <w:rStyle w:val="Strong"/>
          <w:b w:val="0"/>
          <w:bCs w:val="0"/>
        </w:rPr>
      </w:pPr>
    </w:p>
    <w:p w:rsidR="007F027C" w:rsidRPr="007F027C" w:rsidRDefault="008B5C20" w:rsidP="007F027C">
      <w:pPr>
        <w:pStyle w:val="NormalWeb"/>
        <w:numPr>
          <w:ilvl w:val="0"/>
          <w:numId w:val="5"/>
        </w:numPr>
        <w:rPr>
          <w:rStyle w:val="Strong"/>
          <w:b w:val="0"/>
          <w:bCs w:val="0"/>
        </w:rPr>
      </w:pPr>
      <w:r>
        <w:rPr>
          <w:rStyle w:val="Strong"/>
        </w:rPr>
        <w:t>Yearly Trends Query:</w:t>
      </w:r>
    </w:p>
    <w:p w:rsidR="007F027C" w:rsidRDefault="007F027C" w:rsidP="007F027C">
      <w:pPr>
        <w:pStyle w:val="NormalWeb"/>
        <w:numPr>
          <w:ilvl w:val="0"/>
          <w:numId w:val="8"/>
        </w:numPr>
      </w:pPr>
      <w:r w:rsidRPr="007F027C">
        <w:drawing>
          <wp:anchor distT="0" distB="0" distL="114300" distR="114300" simplePos="0" relativeHeight="251661312" behindDoc="0" locked="0" layoutInCell="1" allowOverlap="1" wp14:anchorId="4FF2D6A9" wp14:editId="3221F0C8">
            <wp:simplePos x="0" y="0"/>
            <wp:positionH relativeFrom="margin">
              <wp:align>left</wp:align>
            </wp:positionH>
            <wp:positionV relativeFrom="paragraph">
              <wp:posOffset>213858</wp:posOffset>
            </wp:positionV>
            <wp:extent cx="3402957" cy="1530985"/>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2957" cy="1530985"/>
                    </a:xfrm>
                    <a:prstGeom prst="rect">
                      <a:avLst/>
                    </a:prstGeom>
                  </pic:spPr>
                </pic:pic>
              </a:graphicData>
            </a:graphic>
            <wp14:sizeRelH relativeFrom="margin">
              <wp14:pctWidth>0</wp14:pctWidth>
            </wp14:sizeRelH>
            <wp14:sizeRelV relativeFrom="margin">
              <wp14:pctHeight>0</wp14:pctHeight>
            </wp14:sizeRelV>
          </wp:anchor>
        </w:drawing>
      </w:r>
      <w:r w:rsidRPr="007F027C">
        <w:t>Stock</w:t>
      </w:r>
      <w:r>
        <w:t>-</w:t>
      </w:r>
      <w:r w:rsidRPr="007F027C">
        <w:t>wise Yearly Average Volume</w:t>
      </w:r>
    </w:p>
    <w:p w:rsidR="007F027C" w:rsidRDefault="007F027C" w:rsidP="007F027C">
      <w:pPr>
        <w:pStyle w:val="NormalWeb"/>
      </w:pPr>
    </w:p>
    <w:p w:rsidR="007F027C" w:rsidRDefault="007F027C" w:rsidP="007F027C">
      <w:pPr>
        <w:pStyle w:val="NormalWeb"/>
      </w:pPr>
    </w:p>
    <w:p w:rsidR="007F027C" w:rsidRDefault="007F027C" w:rsidP="007F027C">
      <w:pPr>
        <w:pStyle w:val="NormalWeb"/>
      </w:pPr>
    </w:p>
    <w:p w:rsidR="007F027C" w:rsidRDefault="007F027C" w:rsidP="007F027C">
      <w:pPr>
        <w:pStyle w:val="NormalWeb"/>
      </w:pPr>
    </w:p>
    <w:p w:rsidR="007F027C" w:rsidRDefault="00E06264" w:rsidP="007F027C">
      <w:pPr>
        <w:pStyle w:val="NormalWeb"/>
        <w:numPr>
          <w:ilvl w:val="0"/>
          <w:numId w:val="8"/>
        </w:numPr>
      </w:pPr>
      <w:r w:rsidRPr="00E06264">
        <w:drawing>
          <wp:anchor distT="0" distB="0" distL="114300" distR="114300" simplePos="0" relativeHeight="251662336" behindDoc="0" locked="0" layoutInCell="1" allowOverlap="1" wp14:anchorId="5B1EE4E6" wp14:editId="4B4026E4">
            <wp:simplePos x="0" y="0"/>
            <wp:positionH relativeFrom="margin">
              <wp:align>left</wp:align>
            </wp:positionH>
            <wp:positionV relativeFrom="paragraph">
              <wp:posOffset>225416</wp:posOffset>
            </wp:positionV>
            <wp:extent cx="3673852" cy="2575367"/>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3852" cy="2575367"/>
                    </a:xfrm>
                    <a:prstGeom prst="rect">
                      <a:avLst/>
                    </a:prstGeom>
                  </pic:spPr>
                </pic:pic>
              </a:graphicData>
            </a:graphic>
            <wp14:sizeRelH relativeFrom="margin">
              <wp14:pctWidth>0</wp14:pctWidth>
            </wp14:sizeRelH>
            <wp14:sizeRelV relativeFrom="margin">
              <wp14:pctHeight>0</wp14:pctHeight>
            </wp14:sizeRelV>
          </wp:anchor>
        </w:drawing>
      </w:r>
      <w:r w:rsidR="007F027C" w:rsidRPr="007F027C">
        <w:t>Stock</w:t>
      </w:r>
      <w:r w:rsidR="007F027C">
        <w:t>-</w:t>
      </w:r>
      <w:r w:rsidR="007F027C" w:rsidRPr="007F027C">
        <w:t>wise Yearly Profit</w:t>
      </w:r>
      <w:r w:rsidR="007F027C">
        <w:t xml:space="preserve"> &amp; Loss</w:t>
      </w:r>
    </w:p>
    <w:p w:rsidR="007F027C" w:rsidRDefault="007F027C" w:rsidP="007F027C">
      <w:pPr>
        <w:pStyle w:val="NormalWeb"/>
      </w:pPr>
    </w:p>
    <w:p w:rsidR="007F027C" w:rsidRDefault="007F027C" w:rsidP="007F027C">
      <w:pPr>
        <w:pStyle w:val="NormalWeb"/>
      </w:pPr>
    </w:p>
    <w:p w:rsidR="007F027C" w:rsidRDefault="007F027C" w:rsidP="007F027C">
      <w:pPr>
        <w:pStyle w:val="NormalWeb"/>
      </w:pPr>
    </w:p>
    <w:p w:rsidR="007F027C" w:rsidRDefault="007F027C" w:rsidP="007F027C">
      <w:pPr>
        <w:pStyle w:val="NormalWeb"/>
      </w:pPr>
    </w:p>
    <w:p w:rsidR="007F027C" w:rsidRDefault="007F027C" w:rsidP="007F027C">
      <w:pPr>
        <w:pStyle w:val="NormalWeb"/>
      </w:pPr>
    </w:p>
    <w:p w:rsidR="00E06264" w:rsidRDefault="00E06264" w:rsidP="007F027C">
      <w:pPr>
        <w:pStyle w:val="NormalWeb"/>
      </w:pPr>
    </w:p>
    <w:p w:rsidR="00E06264" w:rsidRDefault="00E06264" w:rsidP="007F027C">
      <w:pPr>
        <w:pStyle w:val="NormalWeb"/>
      </w:pPr>
    </w:p>
    <w:p w:rsidR="007F027C" w:rsidRDefault="00E06264" w:rsidP="007F027C">
      <w:pPr>
        <w:pStyle w:val="NormalWeb"/>
        <w:numPr>
          <w:ilvl w:val="0"/>
          <w:numId w:val="8"/>
        </w:numPr>
      </w:pPr>
      <w:r w:rsidRPr="00E06264">
        <w:drawing>
          <wp:anchor distT="0" distB="0" distL="114300" distR="114300" simplePos="0" relativeHeight="251663360" behindDoc="0" locked="0" layoutInCell="1" allowOverlap="1" wp14:anchorId="766024FC" wp14:editId="6177C0D2">
            <wp:simplePos x="0" y="0"/>
            <wp:positionH relativeFrom="margin">
              <wp:align>left</wp:align>
            </wp:positionH>
            <wp:positionV relativeFrom="paragraph">
              <wp:posOffset>236734</wp:posOffset>
            </wp:positionV>
            <wp:extent cx="3794125" cy="261549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94125" cy="2615493"/>
                    </a:xfrm>
                    <a:prstGeom prst="rect">
                      <a:avLst/>
                    </a:prstGeom>
                  </pic:spPr>
                </pic:pic>
              </a:graphicData>
            </a:graphic>
            <wp14:sizeRelH relativeFrom="margin">
              <wp14:pctWidth>0</wp14:pctWidth>
            </wp14:sizeRelH>
            <wp14:sizeRelV relativeFrom="margin">
              <wp14:pctHeight>0</wp14:pctHeight>
            </wp14:sizeRelV>
          </wp:anchor>
        </w:drawing>
      </w:r>
      <w:r w:rsidR="007F027C" w:rsidRPr="007F027C">
        <w:t xml:space="preserve">Maximum </w:t>
      </w:r>
      <w:r>
        <w:t xml:space="preserve">&amp; </w:t>
      </w:r>
      <w:r>
        <w:t>Min</w:t>
      </w:r>
      <w:r w:rsidRPr="007F027C">
        <w:t>imum</w:t>
      </w:r>
      <w:r>
        <w:t xml:space="preserve"> </w:t>
      </w:r>
      <w:r w:rsidR="007F027C" w:rsidRPr="007F027C">
        <w:t>Yearly Return</w:t>
      </w: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7F027C" w:rsidRDefault="00E06264" w:rsidP="007F027C">
      <w:pPr>
        <w:pStyle w:val="NormalWeb"/>
        <w:numPr>
          <w:ilvl w:val="0"/>
          <w:numId w:val="8"/>
        </w:numPr>
      </w:pPr>
      <w:r w:rsidRPr="007F027C">
        <w:drawing>
          <wp:anchor distT="0" distB="0" distL="114300" distR="114300" simplePos="0" relativeHeight="251665408" behindDoc="0" locked="0" layoutInCell="1" allowOverlap="1" wp14:anchorId="0E34583C" wp14:editId="0929ABC0">
            <wp:simplePos x="0" y="0"/>
            <wp:positionH relativeFrom="margin">
              <wp:align>left</wp:align>
            </wp:positionH>
            <wp:positionV relativeFrom="paragraph">
              <wp:posOffset>243068</wp:posOffset>
            </wp:positionV>
            <wp:extent cx="3426106" cy="1238250"/>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26106" cy="1238250"/>
                    </a:xfrm>
                    <a:prstGeom prst="rect">
                      <a:avLst/>
                    </a:prstGeom>
                  </pic:spPr>
                </pic:pic>
              </a:graphicData>
            </a:graphic>
            <wp14:sizeRelH relativeFrom="margin">
              <wp14:pctWidth>0</wp14:pctWidth>
            </wp14:sizeRelH>
            <wp14:sizeRelV relativeFrom="margin">
              <wp14:pctHeight>0</wp14:pctHeight>
            </wp14:sizeRelV>
          </wp:anchor>
        </w:drawing>
      </w:r>
      <w:r w:rsidR="007F027C" w:rsidRPr="007F027C">
        <w:t>Yearly</w:t>
      </w:r>
      <w:r w:rsidR="007F027C">
        <w:t xml:space="preserve"> Stock Price Variation</w:t>
      </w:r>
    </w:p>
    <w:p w:rsidR="007F027C" w:rsidRDefault="00E06264" w:rsidP="00E06264">
      <w:pPr>
        <w:pStyle w:val="NormalWeb"/>
        <w:tabs>
          <w:tab w:val="left" w:pos="2625"/>
        </w:tabs>
        <w:ind w:left="1440"/>
      </w:pPr>
      <w:r>
        <w:tab/>
      </w:r>
    </w:p>
    <w:p w:rsidR="007F027C" w:rsidRDefault="007F027C" w:rsidP="007F027C">
      <w:pPr>
        <w:pStyle w:val="NormalWeb"/>
        <w:ind w:left="1440"/>
      </w:pPr>
    </w:p>
    <w:p w:rsidR="007F027C" w:rsidRDefault="007F027C" w:rsidP="007F027C">
      <w:pPr>
        <w:pStyle w:val="NormalWeb"/>
        <w:ind w:left="1440"/>
      </w:pPr>
    </w:p>
    <w:p w:rsidR="00E06264" w:rsidRDefault="00E06264" w:rsidP="007F027C">
      <w:pPr>
        <w:pStyle w:val="NormalWeb"/>
        <w:ind w:left="1440"/>
      </w:pPr>
    </w:p>
    <w:p w:rsidR="00E06264" w:rsidRPr="007F027C" w:rsidRDefault="00E06264" w:rsidP="00E06264">
      <w:pPr>
        <w:pStyle w:val="NormalWeb"/>
        <w:numPr>
          <w:ilvl w:val="0"/>
          <w:numId w:val="5"/>
        </w:numPr>
        <w:rPr>
          <w:rStyle w:val="Strong"/>
          <w:b w:val="0"/>
          <w:bCs w:val="0"/>
        </w:rPr>
      </w:pPr>
      <w:r>
        <w:rPr>
          <w:rStyle w:val="Strong"/>
        </w:rPr>
        <w:t>Quarterly &amp; Monthly</w:t>
      </w:r>
      <w:r>
        <w:rPr>
          <w:rStyle w:val="Strong"/>
        </w:rPr>
        <w:t xml:space="preserve"> Trends Query:</w:t>
      </w:r>
    </w:p>
    <w:p w:rsidR="00E06264" w:rsidRDefault="00006987" w:rsidP="00E06264">
      <w:pPr>
        <w:pStyle w:val="NormalWeb"/>
        <w:numPr>
          <w:ilvl w:val="0"/>
          <w:numId w:val="9"/>
        </w:numPr>
      </w:pPr>
      <w:r w:rsidRPr="00006987">
        <w:drawing>
          <wp:anchor distT="0" distB="0" distL="114300" distR="114300" simplePos="0" relativeHeight="251666432" behindDoc="0" locked="0" layoutInCell="1" allowOverlap="1" wp14:anchorId="1EAE8FD6" wp14:editId="29D0C93A">
            <wp:simplePos x="0" y="0"/>
            <wp:positionH relativeFrom="margin">
              <wp:align>left</wp:align>
            </wp:positionH>
            <wp:positionV relativeFrom="paragraph">
              <wp:posOffset>248663</wp:posOffset>
            </wp:positionV>
            <wp:extent cx="3333115" cy="3345083"/>
            <wp:effectExtent l="0" t="0" r="63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33115" cy="3345083"/>
                    </a:xfrm>
                    <a:prstGeom prst="rect">
                      <a:avLst/>
                    </a:prstGeom>
                  </pic:spPr>
                </pic:pic>
              </a:graphicData>
            </a:graphic>
            <wp14:sizeRelH relativeFrom="margin">
              <wp14:pctWidth>0</wp14:pctWidth>
            </wp14:sizeRelH>
            <wp14:sizeRelV relativeFrom="margin">
              <wp14:pctHeight>0</wp14:pctHeight>
            </wp14:sizeRelV>
          </wp:anchor>
        </w:drawing>
      </w:r>
      <w:r w:rsidR="00E06264">
        <w:t>S</w:t>
      </w:r>
      <w:r w:rsidR="00E06264" w:rsidRPr="007F027C">
        <w:t>tock</w:t>
      </w:r>
      <w:r w:rsidR="00E06264">
        <w:t>-</w:t>
      </w:r>
      <w:r w:rsidR="00E06264" w:rsidRPr="007F027C">
        <w:t xml:space="preserve">wise </w:t>
      </w:r>
      <w:r w:rsidR="00E06264">
        <w:t>Month</w:t>
      </w:r>
      <w:r w:rsidR="00E06264" w:rsidRPr="007F027C">
        <w:t xml:space="preserve">ly </w:t>
      </w:r>
      <w:r w:rsidR="00E06264">
        <w:t xml:space="preserve">&amp; Quarterly </w:t>
      </w:r>
      <w:r w:rsidR="00E06264" w:rsidRPr="007F027C">
        <w:t>Average Volume</w:t>
      </w: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E06264" w:rsidRDefault="00E06264" w:rsidP="00E06264">
      <w:pPr>
        <w:pStyle w:val="NormalWeb"/>
      </w:pPr>
    </w:p>
    <w:p w:rsidR="00006987" w:rsidRDefault="00006987" w:rsidP="00E06264">
      <w:pPr>
        <w:pStyle w:val="NormalWeb"/>
      </w:pPr>
    </w:p>
    <w:p w:rsidR="00E06264" w:rsidRDefault="00006987" w:rsidP="00E06264">
      <w:pPr>
        <w:pStyle w:val="NormalWeb"/>
        <w:numPr>
          <w:ilvl w:val="0"/>
          <w:numId w:val="9"/>
        </w:numPr>
      </w:pPr>
      <w:r w:rsidRPr="00006987">
        <w:drawing>
          <wp:anchor distT="0" distB="0" distL="114300" distR="114300" simplePos="0" relativeHeight="251667456" behindDoc="0" locked="0" layoutInCell="1" allowOverlap="1" wp14:anchorId="29DC8503" wp14:editId="0BE77C24">
            <wp:simplePos x="0" y="0"/>
            <wp:positionH relativeFrom="margin">
              <wp:align>left</wp:align>
            </wp:positionH>
            <wp:positionV relativeFrom="paragraph">
              <wp:posOffset>167286</wp:posOffset>
            </wp:positionV>
            <wp:extent cx="4190035" cy="2679065"/>
            <wp:effectExtent l="0" t="0" r="127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90035" cy="2679065"/>
                    </a:xfrm>
                    <a:prstGeom prst="rect">
                      <a:avLst/>
                    </a:prstGeom>
                  </pic:spPr>
                </pic:pic>
              </a:graphicData>
            </a:graphic>
            <wp14:sizeRelH relativeFrom="margin">
              <wp14:pctWidth>0</wp14:pctWidth>
            </wp14:sizeRelH>
            <wp14:sizeRelV relativeFrom="margin">
              <wp14:pctHeight>0</wp14:pctHeight>
            </wp14:sizeRelV>
          </wp:anchor>
        </w:drawing>
      </w:r>
      <w:r w:rsidR="00E06264">
        <w:t>S</w:t>
      </w:r>
      <w:r w:rsidR="00E06264" w:rsidRPr="007F027C">
        <w:t>tock</w:t>
      </w:r>
      <w:r w:rsidR="00E06264">
        <w:t>-</w:t>
      </w:r>
      <w:r w:rsidR="00E06264" w:rsidRPr="007F027C">
        <w:t xml:space="preserve">wise </w:t>
      </w:r>
      <w:r w:rsidR="00E06264">
        <w:t>Month</w:t>
      </w:r>
      <w:r w:rsidR="00E06264" w:rsidRPr="007F027C">
        <w:t xml:space="preserve">ly </w:t>
      </w:r>
      <w:r w:rsidR="00E06264">
        <w:t>&amp; Quarterly</w:t>
      </w:r>
      <w:r w:rsidR="00E06264">
        <w:t xml:space="preserve"> Profit</w:t>
      </w: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E06264" w:rsidRDefault="00006987" w:rsidP="00E06264">
      <w:pPr>
        <w:pStyle w:val="NormalWeb"/>
        <w:numPr>
          <w:ilvl w:val="0"/>
          <w:numId w:val="9"/>
        </w:numPr>
      </w:pPr>
      <w:r w:rsidRPr="00006987">
        <w:drawing>
          <wp:anchor distT="0" distB="0" distL="114300" distR="114300" simplePos="0" relativeHeight="251668480" behindDoc="0" locked="0" layoutInCell="1" allowOverlap="1" wp14:anchorId="2CDCA2DC" wp14:editId="2760AEAF">
            <wp:simplePos x="0" y="0"/>
            <wp:positionH relativeFrom="margin">
              <wp:align>left</wp:align>
            </wp:positionH>
            <wp:positionV relativeFrom="paragraph">
              <wp:posOffset>208344</wp:posOffset>
            </wp:positionV>
            <wp:extent cx="4595149" cy="350670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95149" cy="3506704"/>
                    </a:xfrm>
                    <a:prstGeom prst="rect">
                      <a:avLst/>
                    </a:prstGeom>
                  </pic:spPr>
                </pic:pic>
              </a:graphicData>
            </a:graphic>
            <wp14:sizeRelH relativeFrom="margin">
              <wp14:pctWidth>0</wp14:pctWidth>
            </wp14:sizeRelH>
            <wp14:sizeRelV relativeFrom="margin">
              <wp14:pctHeight>0</wp14:pctHeight>
            </wp14:sizeRelV>
          </wp:anchor>
        </w:drawing>
      </w:r>
      <w:r w:rsidR="00E06264">
        <w:t>S</w:t>
      </w:r>
      <w:r w:rsidR="00E06264" w:rsidRPr="007F027C">
        <w:t>tock</w:t>
      </w:r>
      <w:r w:rsidR="00E06264">
        <w:t>-</w:t>
      </w:r>
      <w:r w:rsidR="00E06264" w:rsidRPr="007F027C">
        <w:t xml:space="preserve">wise </w:t>
      </w:r>
      <w:r w:rsidR="00E06264">
        <w:t>Month</w:t>
      </w:r>
      <w:r w:rsidR="00E06264" w:rsidRPr="007F027C">
        <w:t xml:space="preserve">ly </w:t>
      </w:r>
      <w:r w:rsidR="00E06264">
        <w:t>&amp; Quarterly</w:t>
      </w:r>
      <w:r w:rsidR="00E06264">
        <w:t xml:space="preserve"> Loss</w:t>
      </w: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8F6ABE" w:rsidP="008F6ABE">
      <w:pPr>
        <w:pStyle w:val="NormalWeb"/>
        <w:tabs>
          <w:tab w:val="left" w:pos="7018"/>
        </w:tabs>
      </w:pPr>
      <w:r>
        <w:tab/>
      </w:r>
    </w:p>
    <w:p w:rsidR="008F6ABE" w:rsidRDefault="008F6ABE" w:rsidP="008F6ABE">
      <w:pPr>
        <w:pStyle w:val="NormalWeb"/>
        <w:tabs>
          <w:tab w:val="left" w:pos="7018"/>
        </w:tabs>
      </w:pPr>
    </w:p>
    <w:p w:rsidR="008F6ABE" w:rsidRDefault="008F6ABE" w:rsidP="008F6ABE">
      <w:pPr>
        <w:pStyle w:val="NormalWeb"/>
        <w:tabs>
          <w:tab w:val="left" w:pos="7018"/>
        </w:tabs>
      </w:pPr>
    </w:p>
    <w:p w:rsidR="00006987" w:rsidRDefault="00006987" w:rsidP="00006987">
      <w:pPr>
        <w:pStyle w:val="NormalWeb"/>
      </w:pPr>
    </w:p>
    <w:p w:rsidR="00E06264" w:rsidRDefault="008F6ABE" w:rsidP="00E06264">
      <w:pPr>
        <w:pStyle w:val="NormalWeb"/>
        <w:numPr>
          <w:ilvl w:val="0"/>
          <w:numId w:val="9"/>
        </w:numPr>
      </w:pPr>
      <w:r w:rsidRPr="008F6ABE">
        <w:drawing>
          <wp:anchor distT="0" distB="0" distL="114300" distR="114300" simplePos="0" relativeHeight="251670528" behindDoc="0" locked="0" layoutInCell="1" allowOverlap="1" wp14:anchorId="4891EFEA" wp14:editId="21ADCA49">
            <wp:simplePos x="0" y="0"/>
            <wp:positionH relativeFrom="margin">
              <wp:align>left</wp:align>
            </wp:positionH>
            <wp:positionV relativeFrom="paragraph">
              <wp:posOffset>241975</wp:posOffset>
            </wp:positionV>
            <wp:extent cx="4097438" cy="412623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97438" cy="4126230"/>
                    </a:xfrm>
                    <a:prstGeom prst="rect">
                      <a:avLst/>
                    </a:prstGeom>
                  </pic:spPr>
                </pic:pic>
              </a:graphicData>
            </a:graphic>
            <wp14:sizeRelH relativeFrom="margin">
              <wp14:pctWidth>0</wp14:pctWidth>
            </wp14:sizeRelH>
            <wp14:sizeRelV relativeFrom="margin">
              <wp14:pctHeight>0</wp14:pctHeight>
            </wp14:sizeRelV>
          </wp:anchor>
        </w:drawing>
      </w:r>
      <w:r w:rsidR="00E06264">
        <w:t>Month</w:t>
      </w:r>
      <w:r w:rsidR="00E06264" w:rsidRPr="007F027C">
        <w:t xml:space="preserve">ly </w:t>
      </w:r>
      <w:r w:rsidR="00E06264">
        <w:t xml:space="preserve">&amp; Quarterly </w:t>
      </w:r>
      <w:r>
        <w:t>Average Volume</w:t>
      </w: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006987" w:rsidRDefault="00006987" w:rsidP="00006987">
      <w:pPr>
        <w:pStyle w:val="NormalWeb"/>
      </w:pPr>
    </w:p>
    <w:p w:rsidR="008F6ABE" w:rsidRDefault="008F6ABE" w:rsidP="00006987">
      <w:pPr>
        <w:pStyle w:val="NormalWeb"/>
      </w:pPr>
    </w:p>
    <w:p w:rsidR="008F6ABE" w:rsidRDefault="008F6ABE" w:rsidP="00006987">
      <w:pPr>
        <w:pStyle w:val="NormalWeb"/>
      </w:pPr>
    </w:p>
    <w:p w:rsidR="008F6ABE" w:rsidRDefault="008F6ABE" w:rsidP="00006987">
      <w:pPr>
        <w:pStyle w:val="NormalWeb"/>
      </w:pPr>
    </w:p>
    <w:p w:rsidR="00006987" w:rsidRDefault="00006987" w:rsidP="00006987">
      <w:pPr>
        <w:pStyle w:val="NormalWeb"/>
      </w:pPr>
    </w:p>
    <w:p w:rsidR="00006987" w:rsidRDefault="00006987" w:rsidP="00006987">
      <w:pPr>
        <w:pStyle w:val="NormalWeb"/>
        <w:numPr>
          <w:ilvl w:val="0"/>
          <w:numId w:val="9"/>
        </w:numPr>
      </w:pPr>
      <w:r>
        <w:lastRenderedPageBreak/>
        <w:t>Month</w:t>
      </w:r>
      <w:r w:rsidRPr="007F027C">
        <w:t xml:space="preserve">ly </w:t>
      </w:r>
      <w:r>
        <w:t>&amp; Quarterly</w:t>
      </w:r>
      <w:r>
        <w:t xml:space="preserve"> </w:t>
      </w:r>
      <w:r w:rsidR="008F6ABE">
        <w:t>Stock Price Variation</w:t>
      </w:r>
      <w:r w:rsidR="008F6ABE">
        <w:t xml:space="preserve"> </w:t>
      </w:r>
    </w:p>
    <w:p w:rsidR="00E06264" w:rsidRDefault="008F6ABE" w:rsidP="007F027C">
      <w:pPr>
        <w:pStyle w:val="NormalWeb"/>
        <w:ind w:left="1440"/>
      </w:pPr>
      <w:r w:rsidRPr="008F6ABE">
        <w:drawing>
          <wp:anchor distT="0" distB="0" distL="114300" distR="114300" simplePos="0" relativeHeight="251669504" behindDoc="0" locked="0" layoutInCell="1" allowOverlap="1" wp14:anchorId="3DF618C0" wp14:editId="25205711">
            <wp:simplePos x="0" y="0"/>
            <wp:positionH relativeFrom="margin">
              <wp:align>left</wp:align>
            </wp:positionH>
            <wp:positionV relativeFrom="paragraph">
              <wp:posOffset>5787</wp:posOffset>
            </wp:positionV>
            <wp:extent cx="3981426" cy="4242122"/>
            <wp:effectExtent l="0" t="0" r="63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1426" cy="4242122"/>
                    </a:xfrm>
                    <a:prstGeom prst="rect">
                      <a:avLst/>
                    </a:prstGeom>
                  </pic:spPr>
                </pic:pic>
              </a:graphicData>
            </a:graphic>
            <wp14:sizeRelH relativeFrom="margin">
              <wp14:pctWidth>0</wp14:pctWidth>
            </wp14:sizeRelH>
            <wp14:sizeRelV relativeFrom="margin">
              <wp14:pctHeight>0</wp14:pctHeight>
            </wp14:sizeRelV>
          </wp:anchor>
        </w:drawing>
      </w: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7F027C" w:rsidRDefault="007F027C" w:rsidP="007F027C">
      <w:pPr>
        <w:pStyle w:val="NormalWeb"/>
        <w:ind w:left="1440"/>
      </w:pPr>
    </w:p>
    <w:p w:rsidR="008F6ABE" w:rsidRPr="008F6ABE" w:rsidRDefault="008F6ABE" w:rsidP="008F6ABE">
      <w:pPr>
        <w:pStyle w:val="NormalWeb"/>
        <w:ind w:left="720"/>
        <w:rPr>
          <w:rStyle w:val="Strong"/>
          <w:b w:val="0"/>
          <w:bCs w:val="0"/>
        </w:rPr>
      </w:pPr>
    </w:p>
    <w:p w:rsidR="008B5C20" w:rsidRPr="002F41E9" w:rsidRDefault="008B5C20" w:rsidP="008F6ABE">
      <w:pPr>
        <w:pStyle w:val="NormalWeb"/>
        <w:numPr>
          <w:ilvl w:val="0"/>
          <w:numId w:val="5"/>
        </w:numPr>
        <w:rPr>
          <w:rStyle w:val="Strong"/>
          <w:b w:val="0"/>
          <w:bCs w:val="0"/>
          <w:noProof/>
        </w:rPr>
      </w:pPr>
      <w:r>
        <w:rPr>
          <w:rStyle w:val="Strong"/>
        </w:rPr>
        <w:t xml:space="preserve">Daily </w:t>
      </w:r>
      <w:r w:rsidR="008F6ABE">
        <w:rPr>
          <w:rStyle w:val="Strong"/>
        </w:rPr>
        <w:t>Trends Query:</w:t>
      </w:r>
    </w:p>
    <w:p w:rsidR="002F41E9" w:rsidRDefault="002F41E9" w:rsidP="002F41E9">
      <w:pPr>
        <w:pStyle w:val="NormalWeb"/>
        <w:numPr>
          <w:ilvl w:val="0"/>
          <w:numId w:val="10"/>
        </w:numPr>
        <w:rPr>
          <w:noProof/>
        </w:rPr>
      </w:pPr>
      <w:r w:rsidRPr="008F6ABE">
        <w:rPr>
          <w:noProof/>
        </w:rPr>
        <w:drawing>
          <wp:anchor distT="0" distB="0" distL="114300" distR="114300" simplePos="0" relativeHeight="251671552" behindDoc="0" locked="0" layoutInCell="1" allowOverlap="1" wp14:anchorId="0343FE26" wp14:editId="6279995F">
            <wp:simplePos x="0" y="0"/>
            <wp:positionH relativeFrom="margin">
              <wp:align>left</wp:align>
            </wp:positionH>
            <wp:positionV relativeFrom="paragraph">
              <wp:posOffset>265768</wp:posOffset>
            </wp:positionV>
            <wp:extent cx="5074920" cy="363601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4920" cy="3636010"/>
                    </a:xfrm>
                    <a:prstGeom prst="rect">
                      <a:avLst/>
                    </a:prstGeom>
                  </pic:spPr>
                </pic:pic>
              </a:graphicData>
            </a:graphic>
            <wp14:sizeRelH relativeFrom="margin">
              <wp14:pctWidth>0</wp14:pctWidth>
            </wp14:sizeRelH>
            <wp14:sizeRelV relativeFrom="margin">
              <wp14:pctHeight>0</wp14:pctHeight>
            </wp14:sizeRelV>
          </wp:anchor>
        </w:drawing>
      </w:r>
      <w:r w:rsidRPr="007F027C">
        <w:t>Stock</w:t>
      </w:r>
      <w:r>
        <w:t>-</w:t>
      </w:r>
      <w:r w:rsidRPr="007F027C">
        <w:t xml:space="preserve">wise </w:t>
      </w:r>
      <w:r>
        <w:t>Daily</w:t>
      </w:r>
      <w:r w:rsidRPr="007F027C">
        <w:t xml:space="preserve"> Profit</w:t>
      </w:r>
      <w:r>
        <w:t xml:space="preserve"> &amp; Los</w:t>
      </w:r>
      <w:r>
        <w:t>s</w:t>
      </w: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Pr="002F41E9" w:rsidRDefault="002F41E9" w:rsidP="002F41E9">
      <w:pPr>
        <w:rPr>
          <w:lang w:eastAsia="en-IN"/>
        </w:rPr>
      </w:pPr>
    </w:p>
    <w:p w:rsidR="002F41E9" w:rsidRDefault="002F41E9" w:rsidP="002F41E9">
      <w:pPr>
        <w:rPr>
          <w:lang w:eastAsia="en-IN"/>
        </w:rPr>
      </w:pPr>
    </w:p>
    <w:p w:rsidR="002F41E9" w:rsidRDefault="002F41E9" w:rsidP="002F41E9"/>
    <w:p w:rsidR="002F41E9" w:rsidRDefault="002F41E9" w:rsidP="002F41E9">
      <w:pPr>
        <w:pStyle w:val="ListParagraph"/>
        <w:numPr>
          <w:ilvl w:val="0"/>
          <w:numId w:val="10"/>
        </w:numPr>
        <w:rPr>
          <w:lang w:eastAsia="en-IN"/>
        </w:rPr>
      </w:pPr>
      <w:r w:rsidRPr="002F41E9">
        <w:rPr>
          <w:lang w:eastAsia="en-IN"/>
        </w:rPr>
        <w:drawing>
          <wp:anchor distT="0" distB="0" distL="114300" distR="114300" simplePos="0" relativeHeight="251672576" behindDoc="0" locked="0" layoutInCell="1" allowOverlap="1" wp14:anchorId="1614F642" wp14:editId="3D380736">
            <wp:simplePos x="0" y="0"/>
            <wp:positionH relativeFrom="margin">
              <wp:align>left</wp:align>
            </wp:positionH>
            <wp:positionV relativeFrom="paragraph">
              <wp:posOffset>219920</wp:posOffset>
            </wp:positionV>
            <wp:extent cx="4466742" cy="297469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66742" cy="2974694"/>
                    </a:xfrm>
                    <a:prstGeom prst="rect">
                      <a:avLst/>
                    </a:prstGeom>
                  </pic:spPr>
                </pic:pic>
              </a:graphicData>
            </a:graphic>
            <wp14:sizeRelH relativeFrom="margin">
              <wp14:pctWidth>0</wp14:pctWidth>
            </wp14:sizeRelH>
            <wp14:sizeRelV relativeFrom="margin">
              <wp14:pctHeight>0</wp14:pctHeight>
            </wp14:sizeRelV>
          </wp:anchor>
        </w:drawing>
      </w:r>
      <w:r w:rsidRPr="007F027C">
        <w:t xml:space="preserve">Maximum </w:t>
      </w:r>
      <w:r>
        <w:t>&amp; Min</w:t>
      </w:r>
      <w:r w:rsidRPr="007F027C">
        <w:t>imum</w:t>
      </w:r>
      <w:r>
        <w:t xml:space="preserve"> </w:t>
      </w:r>
      <w:r>
        <w:t>Daily</w:t>
      </w:r>
      <w:r w:rsidRPr="007F027C">
        <w:t xml:space="preserve"> Retur</w:t>
      </w:r>
      <w:r>
        <w:t>n</w:t>
      </w:r>
    </w:p>
    <w:p w:rsidR="002F41E9" w:rsidRPr="002F41E9" w:rsidRDefault="002F41E9" w:rsidP="002F41E9">
      <w:pPr>
        <w:rPr>
          <w:lang w:eastAsia="en-IN"/>
        </w:rPr>
      </w:pPr>
    </w:p>
    <w:p w:rsidR="00326FC8" w:rsidRPr="002F41E9" w:rsidRDefault="00326FC8">
      <w:pPr>
        <w:rPr>
          <w:lang w:eastAsia="en-IN"/>
        </w:rPr>
      </w:pPr>
    </w:p>
    <w:sectPr w:rsidR="00326FC8" w:rsidRPr="002F41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C6D" w:rsidRDefault="00F73C6D" w:rsidP="008830EC">
      <w:pPr>
        <w:spacing w:after="0" w:line="240" w:lineRule="auto"/>
      </w:pPr>
      <w:r>
        <w:separator/>
      </w:r>
    </w:p>
  </w:endnote>
  <w:endnote w:type="continuationSeparator" w:id="0">
    <w:p w:rsidR="00F73C6D" w:rsidRDefault="00F73C6D" w:rsidP="00883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C6D" w:rsidRDefault="00F73C6D" w:rsidP="008830EC">
      <w:pPr>
        <w:spacing w:after="0" w:line="240" w:lineRule="auto"/>
      </w:pPr>
      <w:r>
        <w:separator/>
      </w:r>
    </w:p>
  </w:footnote>
  <w:footnote w:type="continuationSeparator" w:id="0">
    <w:p w:rsidR="00F73C6D" w:rsidRDefault="00F73C6D" w:rsidP="00883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03159"/>
    <w:multiLevelType w:val="hybridMultilevel"/>
    <w:tmpl w:val="DB7E32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F93919"/>
    <w:multiLevelType w:val="multilevel"/>
    <w:tmpl w:val="5562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F6F57"/>
    <w:multiLevelType w:val="multilevel"/>
    <w:tmpl w:val="754C7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91935"/>
    <w:multiLevelType w:val="hybridMultilevel"/>
    <w:tmpl w:val="81C6E86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0973FF"/>
    <w:multiLevelType w:val="multilevel"/>
    <w:tmpl w:val="8206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C6C19"/>
    <w:multiLevelType w:val="multilevel"/>
    <w:tmpl w:val="B290B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46744"/>
    <w:multiLevelType w:val="hybridMultilevel"/>
    <w:tmpl w:val="E07EE5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E626B8"/>
    <w:multiLevelType w:val="hybridMultilevel"/>
    <w:tmpl w:val="D6CCD95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9EF61B0"/>
    <w:multiLevelType w:val="multilevel"/>
    <w:tmpl w:val="BA840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FF3CA3"/>
    <w:multiLevelType w:val="hybridMultilevel"/>
    <w:tmpl w:val="066CDE5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8"/>
  </w:num>
  <w:num w:numId="4">
    <w:abstractNumId w:val="2"/>
  </w:num>
  <w:num w:numId="5">
    <w:abstractNumId w:val="5"/>
  </w:num>
  <w:num w:numId="6">
    <w:abstractNumId w:val="9"/>
  </w:num>
  <w:num w:numId="7">
    <w:abstractNumId w:val="6"/>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9F"/>
    <w:rsid w:val="00001F39"/>
    <w:rsid w:val="00006987"/>
    <w:rsid w:val="001F7963"/>
    <w:rsid w:val="002F41E9"/>
    <w:rsid w:val="00325AE8"/>
    <w:rsid w:val="00326FC8"/>
    <w:rsid w:val="00374A86"/>
    <w:rsid w:val="007F027C"/>
    <w:rsid w:val="00855A9F"/>
    <w:rsid w:val="008830EC"/>
    <w:rsid w:val="008B3CFE"/>
    <w:rsid w:val="008B5C20"/>
    <w:rsid w:val="008F6ABE"/>
    <w:rsid w:val="00B746AD"/>
    <w:rsid w:val="00E06264"/>
    <w:rsid w:val="00E40C7F"/>
    <w:rsid w:val="00F73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AEEDA"/>
  <w15:chartTrackingRefBased/>
  <w15:docId w15:val="{5F33A9CE-667D-47BE-B953-294AF8E5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B3C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74A8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374A8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74A86"/>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374A86"/>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374A86"/>
    <w:rPr>
      <w:b/>
      <w:bCs/>
    </w:rPr>
  </w:style>
  <w:style w:type="paragraph" w:styleId="NormalWeb">
    <w:name w:val="Normal (Web)"/>
    <w:basedOn w:val="Normal"/>
    <w:uiPriority w:val="99"/>
    <w:unhideWhenUsed/>
    <w:rsid w:val="00374A8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830EC"/>
    <w:pPr>
      <w:ind w:left="720"/>
      <w:contextualSpacing/>
    </w:pPr>
  </w:style>
  <w:style w:type="paragraph" w:styleId="Header">
    <w:name w:val="header"/>
    <w:basedOn w:val="Normal"/>
    <w:link w:val="HeaderChar"/>
    <w:uiPriority w:val="99"/>
    <w:unhideWhenUsed/>
    <w:rsid w:val="00883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EC"/>
  </w:style>
  <w:style w:type="paragraph" w:styleId="Footer">
    <w:name w:val="footer"/>
    <w:basedOn w:val="Normal"/>
    <w:link w:val="FooterChar"/>
    <w:uiPriority w:val="99"/>
    <w:unhideWhenUsed/>
    <w:rsid w:val="008830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EC"/>
  </w:style>
  <w:style w:type="paragraph" w:styleId="HTMLPreformatted">
    <w:name w:val="HTML Preformatted"/>
    <w:basedOn w:val="Normal"/>
    <w:link w:val="HTMLPreformattedChar"/>
    <w:uiPriority w:val="99"/>
    <w:unhideWhenUsed/>
    <w:rsid w:val="008B5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5C2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5C20"/>
    <w:rPr>
      <w:rFonts w:ascii="Courier New" w:eastAsia="Times New Roman" w:hAnsi="Courier New" w:cs="Courier New"/>
      <w:sz w:val="20"/>
      <w:szCs w:val="20"/>
    </w:rPr>
  </w:style>
  <w:style w:type="character" w:customStyle="1" w:styleId="hljs-keyword">
    <w:name w:val="hljs-keyword"/>
    <w:basedOn w:val="DefaultParagraphFont"/>
    <w:rsid w:val="008B5C20"/>
  </w:style>
  <w:style w:type="character" w:customStyle="1" w:styleId="hljs-type">
    <w:name w:val="hljs-type"/>
    <w:basedOn w:val="DefaultParagraphFont"/>
    <w:rsid w:val="008B5C20"/>
  </w:style>
  <w:style w:type="character" w:customStyle="1" w:styleId="hljs-builtin">
    <w:name w:val="hljs-built_in"/>
    <w:basedOn w:val="DefaultParagraphFont"/>
    <w:rsid w:val="008B5C20"/>
  </w:style>
  <w:style w:type="character" w:styleId="Emphasis">
    <w:name w:val="Emphasis"/>
    <w:basedOn w:val="DefaultParagraphFont"/>
    <w:uiPriority w:val="20"/>
    <w:qFormat/>
    <w:rsid w:val="00B746AD"/>
    <w:rPr>
      <w:i/>
      <w:iCs/>
    </w:rPr>
  </w:style>
  <w:style w:type="character" w:customStyle="1" w:styleId="Heading3Char">
    <w:name w:val="Heading 3 Char"/>
    <w:basedOn w:val="DefaultParagraphFont"/>
    <w:link w:val="Heading3"/>
    <w:uiPriority w:val="9"/>
    <w:semiHidden/>
    <w:rsid w:val="008B3C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041359">
      <w:bodyDiv w:val="1"/>
      <w:marLeft w:val="0"/>
      <w:marRight w:val="0"/>
      <w:marTop w:val="0"/>
      <w:marBottom w:val="0"/>
      <w:divBdr>
        <w:top w:val="none" w:sz="0" w:space="0" w:color="auto"/>
        <w:left w:val="none" w:sz="0" w:space="0" w:color="auto"/>
        <w:bottom w:val="none" w:sz="0" w:space="0" w:color="auto"/>
        <w:right w:val="none" w:sz="0" w:space="0" w:color="auto"/>
      </w:divBdr>
    </w:div>
    <w:div w:id="315300397">
      <w:bodyDiv w:val="1"/>
      <w:marLeft w:val="0"/>
      <w:marRight w:val="0"/>
      <w:marTop w:val="0"/>
      <w:marBottom w:val="0"/>
      <w:divBdr>
        <w:top w:val="none" w:sz="0" w:space="0" w:color="auto"/>
        <w:left w:val="none" w:sz="0" w:space="0" w:color="auto"/>
        <w:bottom w:val="none" w:sz="0" w:space="0" w:color="auto"/>
        <w:right w:val="none" w:sz="0" w:space="0" w:color="auto"/>
      </w:divBdr>
    </w:div>
    <w:div w:id="499081731">
      <w:bodyDiv w:val="1"/>
      <w:marLeft w:val="0"/>
      <w:marRight w:val="0"/>
      <w:marTop w:val="0"/>
      <w:marBottom w:val="0"/>
      <w:divBdr>
        <w:top w:val="none" w:sz="0" w:space="0" w:color="auto"/>
        <w:left w:val="none" w:sz="0" w:space="0" w:color="auto"/>
        <w:bottom w:val="none" w:sz="0" w:space="0" w:color="auto"/>
        <w:right w:val="none" w:sz="0" w:space="0" w:color="auto"/>
      </w:divBdr>
      <w:divsChild>
        <w:div w:id="101002281">
          <w:marLeft w:val="0"/>
          <w:marRight w:val="0"/>
          <w:marTop w:val="0"/>
          <w:marBottom w:val="0"/>
          <w:divBdr>
            <w:top w:val="none" w:sz="0" w:space="0" w:color="auto"/>
            <w:left w:val="none" w:sz="0" w:space="0" w:color="auto"/>
            <w:bottom w:val="none" w:sz="0" w:space="0" w:color="auto"/>
            <w:right w:val="none" w:sz="0" w:space="0" w:color="auto"/>
          </w:divBdr>
          <w:divsChild>
            <w:div w:id="161315806">
              <w:marLeft w:val="0"/>
              <w:marRight w:val="0"/>
              <w:marTop w:val="0"/>
              <w:marBottom w:val="0"/>
              <w:divBdr>
                <w:top w:val="none" w:sz="0" w:space="0" w:color="auto"/>
                <w:left w:val="none" w:sz="0" w:space="0" w:color="auto"/>
                <w:bottom w:val="none" w:sz="0" w:space="0" w:color="auto"/>
                <w:right w:val="none" w:sz="0" w:space="0" w:color="auto"/>
              </w:divBdr>
            </w:div>
            <w:div w:id="764882309">
              <w:marLeft w:val="0"/>
              <w:marRight w:val="0"/>
              <w:marTop w:val="0"/>
              <w:marBottom w:val="0"/>
              <w:divBdr>
                <w:top w:val="none" w:sz="0" w:space="0" w:color="auto"/>
                <w:left w:val="none" w:sz="0" w:space="0" w:color="auto"/>
                <w:bottom w:val="none" w:sz="0" w:space="0" w:color="auto"/>
                <w:right w:val="none" w:sz="0" w:space="0" w:color="auto"/>
              </w:divBdr>
              <w:divsChild>
                <w:div w:id="225989569">
                  <w:marLeft w:val="0"/>
                  <w:marRight w:val="0"/>
                  <w:marTop w:val="0"/>
                  <w:marBottom w:val="0"/>
                  <w:divBdr>
                    <w:top w:val="none" w:sz="0" w:space="0" w:color="auto"/>
                    <w:left w:val="none" w:sz="0" w:space="0" w:color="auto"/>
                    <w:bottom w:val="none" w:sz="0" w:space="0" w:color="auto"/>
                    <w:right w:val="none" w:sz="0" w:space="0" w:color="auto"/>
                  </w:divBdr>
                  <w:divsChild>
                    <w:div w:id="2961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2474">
              <w:marLeft w:val="0"/>
              <w:marRight w:val="0"/>
              <w:marTop w:val="0"/>
              <w:marBottom w:val="0"/>
              <w:divBdr>
                <w:top w:val="none" w:sz="0" w:space="0" w:color="auto"/>
                <w:left w:val="none" w:sz="0" w:space="0" w:color="auto"/>
                <w:bottom w:val="none" w:sz="0" w:space="0" w:color="auto"/>
                <w:right w:val="none" w:sz="0" w:space="0" w:color="auto"/>
              </w:divBdr>
            </w:div>
          </w:divsChild>
        </w:div>
        <w:div w:id="858810643">
          <w:marLeft w:val="0"/>
          <w:marRight w:val="0"/>
          <w:marTop w:val="0"/>
          <w:marBottom w:val="0"/>
          <w:divBdr>
            <w:top w:val="none" w:sz="0" w:space="0" w:color="auto"/>
            <w:left w:val="none" w:sz="0" w:space="0" w:color="auto"/>
            <w:bottom w:val="none" w:sz="0" w:space="0" w:color="auto"/>
            <w:right w:val="none" w:sz="0" w:space="0" w:color="auto"/>
          </w:divBdr>
          <w:divsChild>
            <w:div w:id="594746151">
              <w:marLeft w:val="0"/>
              <w:marRight w:val="0"/>
              <w:marTop w:val="0"/>
              <w:marBottom w:val="0"/>
              <w:divBdr>
                <w:top w:val="none" w:sz="0" w:space="0" w:color="auto"/>
                <w:left w:val="none" w:sz="0" w:space="0" w:color="auto"/>
                <w:bottom w:val="none" w:sz="0" w:space="0" w:color="auto"/>
                <w:right w:val="none" w:sz="0" w:space="0" w:color="auto"/>
              </w:divBdr>
            </w:div>
            <w:div w:id="1389914415">
              <w:marLeft w:val="0"/>
              <w:marRight w:val="0"/>
              <w:marTop w:val="0"/>
              <w:marBottom w:val="0"/>
              <w:divBdr>
                <w:top w:val="none" w:sz="0" w:space="0" w:color="auto"/>
                <w:left w:val="none" w:sz="0" w:space="0" w:color="auto"/>
                <w:bottom w:val="none" w:sz="0" w:space="0" w:color="auto"/>
                <w:right w:val="none" w:sz="0" w:space="0" w:color="auto"/>
              </w:divBdr>
              <w:divsChild>
                <w:div w:id="88283203">
                  <w:marLeft w:val="0"/>
                  <w:marRight w:val="0"/>
                  <w:marTop w:val="0"/>
                  <w:marBottom w:val="0"/>
                  <w:divBdr>
                    <w:top w:val="none" w:sz="0" w:space="0" w:color="auto"/>
                    <w:left w:val="none" w:sz="0" w:space="0" w:color="auto"/>
                    <w:bottom w:val="none" w:sz="0" w:space="0" w:color="auto"/>
                    <w:right w:val="none" w:sz="0" w:space="0" w:color="auto"/>
                  </w:divBdr>
                  <w:divsChild>
                    <w:div w:id="6958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2558</TotalTime>
  <Pages>9</Pages>
  <Words>320</Words>
  <Characters>1829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Anchal</dc:creator>
  <cp:keywords/>
  <dc:description/>
  <cp:lastModifiedBy>Anchal</cp:lastModifiedBy>
  <cp:revision>1</cp:revision>
  <dcterms:created xsi:type="dcterms:W3CDTF">2024-11-24T19:31:00Z</dcterms:created>
  <dcterms:modified xsi:type="dcterms:W3CDTF">2024-11-26T14:09:00Z</dcterms:modified>
</cp:coreProperties>
</file>