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H-1B Visa Workers Using H-1B LCA Disclosure Data (2020–2024)</w:t>
      </w:r>
    </w:p>
    <w:p>
      <w:pPr>
        <w:pStyle w:val="Author"/>
      </w:pPr>
      <w:r>
        <w:t xml:space="preserve">Yufei Wu</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p>
      <w:pPr>
        <w:pStyle w:val="SourceCode"/>
      </w:pPr>
      <w:r>
        <w:rPr>
          <w:rStyle w:val="VerbatimChar"/>
        </w:rPr>
        <w:t xml:space="preserve">Warning: package 'knitr' was built under R version 4.3.3</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7"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r>
        <w:t xml:space="preserve"> </w:t>
      </w: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w:t>
      </w:r>
      <w:r>
        <w:t xml:space="preserve"> </w:t>
      </w:r>
      <w:r>
        <w:t xml:space="preserve">(2)</w:t>
      </w:r>
      <w:r>
        <w:t xml:space="preserve">. The LCA contains essential details such as job title, wage, and location about the proposed H-1B employment. Therefore, analyzing the LCA data can provide some ideas on the H-1B application status.</w:t>
      </w:r>
    </w:p>
    <w:bookmarkEnd w:id="23"/>
    <w:bookmarkStart w:id="25"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r>
        <w:t xml:space="preserve"> </w:t>
      </w:r>
      <w:r>
        <w:t xml:space="preserve">The data is H1B LCA Disclosure Data (2020-2024) from</w:t>
      </w:r>
      <w:r>
        <w:t xml:space="preserve"> </w:t>
      </w:r>
      <w:hyperlink r:id="rId24">
        <w:r>
          <w:rPr>
            <w:rStyle w:val="Hyperlink"/>
          </w:rPr>
          <w:t xml:space="preserve">Kaggle</w:t>
        </w:r>
      </w:hyperlink>
      <w:r>
        <w:t xml:space="preserve">. It contains LCA disclosure datasets from U.S. Department of Labor, covering the period from 2020 to 2024. It includes information such as case status, job title, Standard Occupational</w:t>
      </w:r>
      <w:r>
        <w:t xml:space="preserve"> </w:t>
      </w:r>
      <w:r>
        <w:t xml:space="preserve">Classification (SOC) title, location, and wages.</w:t>
      </w:r>
    </w:p>
    <w:bookmarkEnd w:id="25"/>
    <w:bookmarkStart w:id="26" w:name="questionshypotheses-to-be-addressed"/>
    <w:p>
      <w:pPr>
        <w:pStyle w:val="Heading2"/>
      </w:pPr>
      <w:r>
        <w:t xml:space="preserve">2.3 Questions/Hypotheses to be addressed</w:t>
      </w:r>
    </w:p>
    <w:p>
      <w:pPr>
        <w:pStyle w:val="FirstParagraph"/>
      </w:pPr>
      <w:r>
        <w:rPr>
          <w:i/>
          <w:iCs/>
        </w:rPr>
        <w:t xml:space="preserve">State the research questions you plan to answer with this analysis.</w:t>
      </w:r>
      <w:r>
        <w:t xml:space="preserve"> </w:t>
      </w:r>
      <w:r>
        <w:t xml:space="preserve">This analysis will primarily focus on certified cases. The key research questions to be examined include:</w:t>
      </w:r>
      <w:r>
        <w:t xml:space="preserve"> </w:t>
      </w:r>
      <w:r>
        <w:t xml:space="preserve">Distribution Analysis:</w:t>
      </w:r>
      <w:r>
        <w:t xml:space="preserve"> </w:t>
      </w:r>
      <w:r>
        <w:t xml:space="preserve">What is the distribution of certified cases across various features such as SOC titles, locations, wages, and employer names?</w:t>
      </w:r>
      <w:r>
        <w:t xml:space="preserve"> </w:t>
      </w:r>
      <w:r>
        <w:t xml:space="preserve">Which SOC titles, states, and employers have the highest and lowest number of certified cases?</w:t>
      </w:r>
      <w:r>
        <w:t xml:space="preserve"> </w:t>
      </w:r>
      <w:r>
        <w:t xml:space="preserve">Variable Relationships:</w:t>
      </w:r>
      <w:r>
        <w:t xml:space="preserve"> </w:t>
      </w:r>
      <w:r>
        <w:t xml:space="preserve">How do wages vary across different states, SOC titles, and employers?</w:t>
      </w:r>
      <w:r>
        <w:t xml:space="preserve"> </w:t>
      </w:r>
      <w:r>
        <w:t xml:space="preserve">Employment Trends and Remote Work Patterns:</w:t>
      </w:r>
      <w:r>
        <w:t xml:space="preserve"> </w:t>
      </w:r>
      <w:r>
        <w:t xml:space="preserve">How have employment patterns evolved over time?</w:t>
      </w:r>
      <w:r>
        <w:t xml:space="preserve"> </w:t>
      </w:r>
      <w:r>
        <w:t xml:space="preserve">What trends can be observed in remote work prevalence before and after the pandemic?</w:t>
      </w:r>
      <w:r>
        <w:t xml:space="preserve"> </w:t>
      </w:r>
      <w:r>
        <w:t xml:space="preserve">Predictive Modeling:</w:t>
      </w:r>
      <w:r>
        <w:t xml:space="preserve"> </w:t>
      </w:r>
      <w:r>
        <w:t xml:space="preserve">Can a predictive model be developed to estimate wages based on job-related and employer-specific features?</w:t>
      </w:r>
      <w:r>
        <w:t xml:space="preserve"> </w:t>
      </w:r>
      <w:r>
        <w:t xml:space="preserve">Which factors contribute most significantly to wage determination in certified cases?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(3,4)</w:t>
      </w:r>
      <w:r>
        <w:t xml:space="preserve">.</w:t>
      </w:r>
    </w:p>
    <w:p>
      <w:r>
        <w:br w:type="page"/>
      </w:r>
    </w:p>
    <w:bookmarkEnd w:id="26"/>
    <w:bookmarkEnd w:id="27"/>
    <w:bookmarkStart w:id="36"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t xml:space="preserve">The data will be reduced to include obeservations with certified case status and visa class of H-1B. Variable will only include RECEIVED_DATE, SOC_TITLE, EMPLOYER_NAME, EMPLOYER_STATE, WORKSITE_STATE, WAGE_RATE_OF_PAY_FROM, PREVAILING_WAGE.</w:t>
      </w:r>
    </w:p>
    <w:bookmarkStart w:id="32"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1" w:name="fig-schematic"/>
          <w:p>
            <w:pPr>
              <w:pStyle w:val="Compact"/>
              <w:jc w:val="center"/>
            </w:pPr>
            <w:r>
              <w:drawing>
                <wp:inline>
                  <wp:extent cx="5334000" cy="4978399"/>
                  <wp:effectExtent b="0" l="0" r="0" t="0"/>
                  <wp:docPr descr="" title="" id="29" name="Picture"/>
                  <a:graphic>
                    <a:graphicData uri="http://schemas.openxmlformats.org/drawingml/2006/picture">
                      <pic:pic>
                        <pic:nvPicPr>
                          <pic:cNvPr descr="../../assets/antigen-recognition.png" id="30" name="Picture"/>
                          <pic:cNvPicPr>
                            <a:picLocks noChangeArrowheads="1" noChangeAspect="1"/>
                          </pic:cNvPicPr>
                        </pic:nvPicPr>
                        <pic:blipFill>
                          <a:blip r:embed="rId28"/>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1"/>
        </w:tc>
      </w:tr>
    </w:tbl>
    <w:bookmarkEnd w:id="32"/>
    <w:bookmarkStart w:id="33"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r>
        <w:t xml:space="preserve"> </w:t>
      </w:r>
      <w:r>
        <w:t xml:space="preserve">The dataset used in this analysis was obtained from Kaggle. The data was downloaded in CSV format.</w:t>
      </w:r>
    </w:p>
    <w:bookmarkEnd w:id="33"/>
    <w:bookmarkStart w:id="34"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The raw data import and cleaning will be conducted seprately since the dataset is large.</w:t>
      </w:r>
    </w:p>
    <w:bookmarkEnd w:id="34"/>
    <w:bookmarkStart w:id="35" w:name="statistical-analysis"/>
    <w:p>
      <w:pPr>
        <w:pStyle w:val="Heading2"/>
      </w:pPr>
      <w:r>
        <w:t xml:space="preserve">3.4 Statistical analysis</w:t>
      </w:r>
    </w:p>
    <w:p>
      <w:pPr>
        <w:pStyle w:val="FirstParagraph"/>
      </w:pPr>
      <w:r>
        <w:rPr>
          <w:i/>
          <w:iCs/>
        </w:rPr>
        <w:t xml:space="preserve">Explain anything related to your statistical analyses.</w:t>
      </w:r>
      <w:r>
        <w:t xml:space="preserve"> </w:t>
      </w:r>
      <w:r>
        <w:t xml:space="preserve">Various plots will be made to visualize the data. Linear regression will be used to analyze the relationship between variables. Machine learning methods will be used as modeling technique.</w:t>
      </w:r>
    </w:p>
    <w:p>
      <w:r>
        <w:br w:type="page"/>
      </w:r>
    </w:p>
    <w:bookmarkEnd w:id="35"/>
    <w:bookmarkEnd w:id="36"/>
    <w:bookmarkStart w:id="46" w:name="results"/>
    <w:p>
      <w:pPr>
        <w:pStyle w:val="Heading1"/>
      </w:pPr>
      <w:r>
        <w:t xml:space="preserve">4. Results</w:t>
      </w:r>
    </w:p>
    <w:bookmarkStart w:id="38"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7"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7"/>
          <w:p/>
        </w:tc>
      </w:tr>
    </w:tbl>
    <w:bookmarkEnd w:id="38"/>
    <w:bookmarkStart w:id="43"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2" w:name="fig-result"/>
          <w:p>
            <w:pPr>
              <w:pStyle w:val="Compact"/>
              <w:jc w:val="center"/>
            </w:pPr>
            <w:r>
              <w:drawing>
                <wp:inline>
                  <wp:extent cx="5334000" cy="2701322"/>
                  <wp:effectExtent b="0" l="0" r="0" t="0"/>
                  <wp:docPr descr="" title="" id="40" name="Picture"/>
                  <a:graphic>
                    <a:graphicData uri="http://schemas.openxmlformats.org/drawingml/2006/picture">
                      <pic:pic>
                        <pic:nvPicPr>
                          <pic:cNvPr descr="../../results/figures/height-weight-stratified.png" id="41" name="Picture"/>
                          <pic:cNvPicPr>
                            <a:picLocks noChangeArrowheads="1" noChangeAspect="1"/>
                          </pic:cNvPicPr>
                        </pic:nvPicPr>
                        <pic:blipFill>
                          <a:blip r:embed="rId39"/>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4"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4"/>
          <w:p/>
        </w:tc>
      </w:tr>
    </w:tbl>
    <w:p>
      <w:r>
        <w:br w:type="page"/>
      </w:r>
    </w:p>
    <w:bookmarkEnd w:id="45"/>
    <w:bookmarkEnd w:id="46"/>
    <w:bookmarkStart w:id="51"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7"/>
    <w:bookmarkStart w:id="48"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8"/>
    <w:bookmarkStart w:id="50"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(5)</w:t>
      </w:r>
      <w:r>
        <w:t xml:space="preserve"> </w:t>
      </w:r>
      <w:r>
        <w:t xml:space="preserve">discusses types of analyses.</w:t>
      </w:r>
    </w:p>
    <w:p>
      <w:pPr>
        <w:pStyle w:val="BodyText"/>
      </w:pPr>
      <w:r>
        <w:t xml:space="preserve">These papers</w:t>
      </w:r>
      <w:r>
        <w:t xml:space="preserve"> </w:t>
      </w:r>
      <w:r>
        <w:t xml:space="preserve">(3,4)</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0"/>
    <w:bookmarkEnd w:id="51"/>
    <w:bookmarkStart w:id="61" w:name="references"/>
    <w:p>
      <w:pPr>
        <w:pStyle w:val="Heading1"/>
      </w:pPr>
      <w:r>
        <w:t xml:space="preserve">6. References</w:t>
      </w:r>
    </w:p>
    <w:bookmarkStart w:id="60" w:name="refs"/>
    <w:bookmarkStart w:id="52"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52"/>
    <w:bookmarkStart w:id="53" w:name="ref-LaborConditionApplication2025"/>
    <w:p>
      <w:pPr>
        <w:pStyle w:val="Bibliography"/>
      </w:pPr>
      <w:r>
        <w:t xml:space="preserve">2.</w:t>
      </w:r>
      <w:r>
        <w:t xml:space="preserve"> </w:t>
      </w:r>
      <w:r>
        <w:t xml:space="preserve">	</w:t>
      </w:r>
      <w:r>
        <w:t xml:space="preserve">Labor</w:t>
      </w:r>
      <w:r>
        <w:t xml:space="preserve"> </w:t>
      </w:r>
      <w:r>
        <w:t xml:space="preserve">Condition Application</w:t>
      </w:r>
      <w:r>
        <w:t xml:space="preserve">.</w:t>
      </w:r>
      <w:r>
        <w:t xml:space="preserve"> </w:t>
      </w:r>
      <w:r>
        <w:rPr>
          <w:i/>
          <w:iCs/>
        </w:rPr>
        <w:t xml:space="preserve">Wikipedia</w:t>
      </w:r>
      <w:r>
        <w:t xml:space="preserve">. 2025;</w:t>
      </w:r>
    </w:p>
    <w:bookmarkEnd w:id="53"/>
    <w:bookmarkStart w:id="55" w:name="ref-mckay2020"/>
    <w:p>
      <w:pPr>
        <w:pStyle w:val="Bibliography"/>
      </w:pPr>
      <w:r>
        <w:t xml:space="preserve">3.</w:t>
      </w:r>
      <w:r>
        <w:t xml:space="preserve"> </w:t>
      </w:r>
      <w:r>
        <w:t xml:space="preserve">	</w:t>
      </w:r>
      <w:r>
        <w:t xml:space="preserve">McKay B, Ebell M, Billings WZ, et al.</w:t>
      </w:r>
      <w:r>
        <w:t xml:space="preserve"> </w:t>
      </w:r>
      <w:hyperlink r:id="rId54">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5"/>
    <w:bookmarkStart w:id="57" w:name="ref-mckay2020a"/>
    <w:p>
      <w:pPr>
        <w:pStyle w:val="Bibliography"/>
      </w:pPr>
      <w:r>
        <w:t xml:space="preserve">4.</w:t>
      </w:r>
      <w:r>
        <w:t xml:space="preserve"> </w:t>
      </w:r>
      <w:r>
        <w:t xml:space="preserve">	</w:t>
      </w:r>
      <w:r>
        <w:t xml:space="preserve">McKay B, Ebell M, Dale AP, et al.</w:t>
      </w:r>
      <w:r>
        <w:t xml:space="preserve"> </w:t>
      </w:r>
      <w:hyperlink r:id="rId56">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7"/>
    <w:bookmarkStart w:id="59" w:name="ref-leek2015"/>
    <w:p>
      <w:pPr>
        <w:pStyle w:val="Bibliography"/>
      </w:pPr>
      <w:r>
        <w:t xml:space="preserve">5.</w:t>
      </w:r>
      <w:r>
        <w:t xml:space="preserve"> </w:t>
      </w:r>
      <w:r>
        <w:t xml:space="preserve">	</w:t>
      </w:r>
      <w:r>
        <w:t xml:space="preserve">Leek JT, Peng RD.</w:t>
      </w:r>
      <w:r>
        <w:t xml:space="preserve"> </w:t>
      </w:r>
      <w:hyperlink r:id="rId58">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8"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H-1B Visa Workers Using H-1B LCA Disclosure Data (2020–2024)</dc:title>
  <dc:creator>Yufei Wu</dc:creator>
  <cp:keywords/>
  <dcterms:created xsi:type="dcterms:W3CDTF">2025-01-31T06:06:31Z</dcterms:created>
  <dcterms:modified xsi:type="dcterms:W3CDTF">2025-01-31T06:06:31Z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