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Arial" w:cs="Arial" w:eastAsia="Arial" w:hAnsi="Arial"/>
          <w:color w:val="444444"/>
          <w:sz w:val="22"/>
          <w:szCs w:val="22"/>
        </w:rPr>
        <w:t xml:space="preserve">Metzingen, 19 May 2026</w:t>
      </w:r>
    </w:p>
    <w:p>
      <w:r>
        <w:t xml:space="preserve"/>
      </w:r>
    </w:p>
    <w:p>
      <w:pPr>
        <w:spacing w:after="200"/>
        <w:jc w:val="left"/>
      </w:pPr>
      <w:r>
        <w:rPr>
          <w:rFonts w:ascii="Arial" w:cs="Arial" w:eastAsia="Arial" w:hAnsi="Arial"/>
          <w:b/>
          <w:bCs/>
          <w:color w:val="1F4E79"/>
          <w:sz w:val="40"/>
          <w:szCs w:val="40"/>
        </w:rPr>
        <w:t xml:space="preserve">RFI: External Partners for Agentic Automations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9E8F5" w:val="clear"/>
            <w:tcMar>
              <w:top w:type="dxa" w:w="120"/>
              <w:left w:type="dxa" w:w="180"/>
              <w:bottom w:type="dxa" w:w="120"/>
              <w:right w:type="dxa" w:w="180"/>
            </w:tcMar>
          </w:tcPr>
          <w:p>
            <w:r>
              <w:rPr>
                <w:rFonts w:ascii="Arial" w:cs="Arial" w:eastAsia="Arial" w:hAnsi="Arial"/>
                <w:b/>
                <w:bCs/>
                <w:color w:val="1F4E79"/>
                <w:sz w:val="22"/>
                <w:szCs w:val="22"/>
              </w:rPr>
              <w:t xml:space="preserve">Purpose of this Document</w:t>
            </w:r>
          </w:p>
          <w:p>
            <w:pPr>
              <w:spacing w:before="60"/>
            </w:pPr>
            <w:r>
              <w:rPr>
                <w:rFonts w:ascii="Arial" w:cs="Arial" w:eastAsia="Arial" w:hAnsi="Arial"/>
                <w:sz w:val="22"/>
                <w:szCs w:val="22"/>
              </w:rPr>
              <w:t xml:space="preserve">This RFI serves as a non-binding market exploration ahead of a potential partnership. It intentionally describes only the necessary framework; specific internal processes, data sources, system details, and budgets will be shared in later conversations or under NDA.</w:t>
            </w:r>
          </w:p>
        </w:tc>
      </w:tr>
    </w:tbl>
    <w:p>
      <w:r>
        <w:t xml:space="preserve"/>
      </w:r>
    </w:p>
    <w:p>
      <w:pPr>
        <w:spacing w:after="120"/>
      </w:pPr>
      <w:r>
        <w:rPr>
          <w:rFonts w:ascii="Arial" w:cs="Arial" w:eastAsia="Arial" w:hAnsi="Arial"/>
          <w:sz w:val="24"/>
          <w:szCs w:val="24"/>
        </w:rPr>
        <w:t xml:space="preserve">Dear Sir or Madam,</w:t>
      </w:r>
    </w:p>
    <w:p>
      <w:pPr>
        <w:spacing w:after="240"/>
      </w:pPr>
      <w:r>
        <w:rPr>
          <w:rFonts w:ascii="Arial" w:cs="Arial" w:eastAsia="Arial" w:hAnsi="Arial"/>
          <w:sz w:val="24"/>
          <w:szCs w:val="24"/>
        </w:rPr>
        <w:t xml:space="preserve">With this RFI, we are seeking to identify potential partners for agentic automations within the NEURA Robotics Business AI Center. We look forward to your response following the structure described below.</w:t>
      </w:r>
    </w:p>
    <w:p>
      <w:pPr>
        <w:pStyle w:val="Heading1"/>
        <w:spacing w:after="120" w:before="300"/>
      </w:pPr>
      <w:r>
        <w:rPr>
          <w:rFonts w:ascii="Arial" w:cs="Arial" w:eastAsia="Arial" w:hAnsi="Arial"/>
          <w:b/>
          <w:bCs/>
          <w:color w:val="1F4E79"/>
          <w:sz w:val="28"/>
          <w:szCs w:val="28"/>
        </w:rPr>
        <w:t xml:space="preserve">1. Background and Objective</w:t>
      </w:r>
    </w:p>
    <w:p>
      <w:pPr>
        <w:spacing w:after="160"/>
      </w:pPr>
      <w:r>
        <w:rPr>
          <w:rFonts w:ascii="Arial" w:cs="Arial" w:eastAsia="Arial" w:hAnsi="Arial"/>
          <w:sz w:val="24"/>
          <w:szCs w:val="24"/>
        </w:rPr>
        <w:t xml:space="preserve">The Business AI Center (BAC) of NEURA Robotics is seeking external partners to support the conception, development, implementation, and scaling of agentic automations in an enterprise context.</w:t>
      </w:r>
    </w:p>
    <w:p>
      <w:pPr>
        <w:spacing w:after="160"/>
      </w:pPr>
      <w:r>
        <w:rPr>
          <w:rFonts w:ascii="Arial" w:cs="Arial" w:eastAsia="Arial" w:hAnsi="Arial"/>
          <w:sz w:val="24"/>
          <w:szCs w:val="24"/>
        </w:rPr>
        <w:t xml:space="preserve">The goal is to treat AI-supported automations not as isolated tools or mere prototypes, but as production-ready digital workflows with clear impact, governance, integration, and operational capability.</w:t>
      </w:r>
    </w:p>
    <w:p>
      <w:pPr>
        <w:spacing w:after="240"/>
      </w:pPr>
      <w:r>
        <w:rPr>
          <w:rFonts w:ascii="Arial" w:cs="Arial" w:eastAsia="Arial" w:hAnsi="Arial"/>
          <w:sz w:val="24"/>
          <w:szCs w:val="24"/>
        </w:rPr>
        <w:t xml:space="preserve">We define agentic automations as AI systems that can process tasks in a goal-oriented manner, gather information, utilize tools and interfaces, coordinate workflows, prepare decisions, and interact with humans.</w:t>
      </w:r>
    </w:p>
    <w:p>
      <w:pPr>
        <w:pStyle w:val="Heading1"/>
        <w:spacing w:after="120" w:before="300"/>
      </w:pPr>
      <w:r>
        <w:rPr>
          <w:rFonts w:ascii="Arial" w:cs="Arial" w:eastAsia="Arial" w:hAnsi="Arial"/>
          <w:b/>
          <w:bCs/>
          <w:color w:val="1F4E79"/>
          <w:sz w:val="28"/>
          <w:szCs w:val="28"/>
        </w:rPr>
        <w:t xml:space="preserve">2. Sought Partner Roles</w:t>
      </w:r>
    </w:p>
    <w:p>
      <w:pPr>
        <w:spacing w:after="160"/>
      </w:pPr>
      <w:r>
        <w:rPr>
          <w:rFonts w:ascii="Arial" w:cs="Arial" w:eastAsia="Arial" w:hAnsi="Arial"/>
          <w:sz w:val="24"/>
          <w:szCs w:val="24"/>
        </w:rPr>
        <w:t xml:space="preserve">We are not looking for pure presentation or strategy support, but partners with demonstrable implementation capability. The following roles are particularly relevant; multiple roles are possible (please indicate in Section 6 which role(s) apply to you):</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Partner Role</w:t>
            </w:r>
          </w:p>
        </w:tc>
        <w:tc>
          <w:tcPr>
            <w:tcW w:type="dxa" w:w="5426"/>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Possible Contribution</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AI Engineering Partner</w:t>
            </w:r>
          </w:p>
        </w:tc>
        <w:tc>
          <w:tcPr>
            <w:tcW w:type="dxa" w:w="5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LLM-based workflows, agents, RAG, Tool Use, and automations.</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2"/>
                <w:szCs w:val="22"/>
              </w:rPr>
              <w:t xml:space="preserve">Systems Integrator</w:t>
            </w:r>
          </w:p>
        </w:tc>
        <w:tc>
          <w:tcPr>
            <w:tcW w:type="dxa" w:w="5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2"/>
                <w:szCs w:val="22"/>
              </w:rPr>
              <w:t xml:space="preserve">Integration with existing systems such as Microsoft 365, Azure, SAP, CRM, ServiceNow, data platforms, and APIs.</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Automation/RPA/BPM Partner</w:t>
            </w:r>
          </w:p>
        </w:tc>
        <w:tc>
          <w:tcPr>
            <w:tcW w:type="dxa" w:w="5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Robust process automations with human-in-the-loop and operating model.</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2"/>
                <w:szCs w:val="22"/>
              </w:rPr>
              <w:t xml:space="preserve">Governance/Security Partner</w:t>
            </w:r>
          </w:p>
        </w:tc>
        <w:tc>
          <w:tcPr>
            <w:tcW w:type="dxa" w:w="5426"/>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sz w:val="22"/>
                <w:szCs w:val="22"/>
              </w:rPr>
              <w:t xml:space="preserve">Data protection, EU AI Act, roles/permissions models, auditability, and risk controls.</w:t>
            </w:r>
          </w:p>
        </w:tc>
      </w:tr>
      <w:tr>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Platform/Cloud Specialist</w:t>
            </w:r>
          </w:p>
        </w:tc>
        <w:tc>
          <w:tcPr>
            <w:tcW w:type="dxa" w:w="54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2"/>
                <w:szCs w:val="22"/>
              </w:rPr>
              <w:t xml:space="preserve">Scalable platform components for agents, evaluations, monitoring, and operations.</w:t>
            </w:r>
          </w:p>
        </w:tc>
      </w:tr>
    </w:tbl>
    <w:p>
      <w:r>
        <w:t xml:space="preserve"/>
      </w:r>
    </w:p>
    <w:p>
      <w:pPr>
        <w:pStyle w:val="Heading1"/>
        <w:spacing w:after="120" w:before="300"/>
      </w:pPr>
      <w:r>
        <w:rPr>
          <w:rFonts w:ascii="Arial" w:cs="Arial" w:eastAsia="Arial" w:hAnsi="Arial"/>
          <w:b/>
          <w:bCs/>
          <w:color w:val="1F4E79"/>
          <w:sz w:val="28"/>
          <w:szCs w:val="28"/>
        </w:rPr>
        <w:t xml:space="preserve">3. Expected Capabilities</w:t>
      </w:r>
    </w:p>
    <w:p>
      <w:pPr>
        <w:pStyle w:val="ListParagraph"/>
        <w:numPr>
          <w:ilvl w:val="0"/>
          <w:numId w:val="2"/>
        </w:numPr>
        <w:spacing w:after="60"/>
      </w:pPr>
      <w:r>
        <w:rPr>
          <w:rFonts w:ascii="Arial" w:cs="Arial" w:eastAsia="Arial" w:hAnsi="Arial"/>
          <w:sz w:val="22"/>
          <w:szCs w:val="22"/>
        </w:rPr>
        <w:t xml:space="preserve">Agentic Automations: LLM-based workflows, Tool Use, RAG, multi-agent concepts, human-in-the-loop, and decision support.</w:t>
      </w:r>
    </w:p>
    <w:p>
      <w:pPr>
        <w:pStyle w:val="ListParagraph"/>
        <w:numPr>
          <w:ilvl w:val="0"/>
          <w:numId w:val="2"/>
        </w:numPr>
        <w:spacing w:after="60"/>
      </w:pPr>
      <w:r>
        <w:rPr>
          <w:rFonts w:ascii="Arial" w:cs="Arial" w:eastAsia="Arial" w:hAnsi="Arial"/>
          <w:sz w:val="22"/>
          <w:szCs w:val="22"/>
        </w:rPr>
        <w:t xml:space="preserve">Enterprise Integration: Experience with Microsoft 365, Azure/OpenAI, SAP, CRM, ServiceNow, RPA/BPM, data platforms, APIs, identity, and permissions.</w:t>
      </w:r>
    </w:p>
    <w:p>
      <w:pPr>
        <w:pStyle w:val="ListParagraph"/>
        <w:numPr>
          <w:ilvl w:val="0"/>
          <w:numId w:val="2"/>
        </w:numPr>
        <w:spacing w:after="60"/>
      </w:pPr>
      <w:r>
        <w:rPr>
          <w:rFonts w:ascii="Arial" w:cs="Arial" w:eastAsia="Arial" w:hAnsi="Arial"/>
          <w:sz w:val="22"/>
          <w:szCs w:val="22"/>
        </w:rPr>
        <w:t xml:space="preserve">Production Readiness: Testing, evaluation, monitoring, observability, logging, release processes, incident handling, and operations.</w:t>
      </w:r>
    </w:p>
    <w:p>
      <w:pPr>
        <w:pStyle w:val="ListParagraph"/>
        <w:numPr>
          <w:ilvl w:val="0"/>
          <w:numId w:val="2"/>
        </w:numPr>
        <w:spacing w:after="60"/>
      </w:pPr>
      <w:r>
        <w:rPr>
          <w:rFonts w:ascii="Arial" w:cs="Arial" w:eastAsia="Arial" w:hAnsi="Arial"/>
          <w:sz w:val="22"/>
          <w:szCs w:val="22"/>
        </w:rPr>
        <w:t xml:space="preserve">Security and Governance: GDPR, EU AI Act, roles and permissions concepts, auditability, data classification, and secure integration patterns.</w:t>
      </w:r>
    </w:p>
    <w:p>
      <w:pPr>
        <w:pStyle w:val="ListParagraph"/>
        <w:numPr>
          <w:ilvl w:val="0"/>
          <w:numId w:val="2"/>
        </w:numPr>
        <w:spacing w:after="60"/>
      </w:pPr>
      <w:r>
        <w:rPr>
          <w:rFonts w:ascii="Arial" w:cs="Arial" w:eastAsia="Arial" w:hAnsi="Arial"/>
          <w:sz w:val="22"/>
          <w:szCs w:val="22"/>
        </w:rPr>
        <w:t xml:space="preserve">Enablement: Co-creation, training, documentation, handover to internal teams, and sustainable capability building.</w:t>
      </w:r>
    </w:p>
    <w:p>
      <w:r>
        <w:t xml:space="preserve"/>
      </w:r>
    </w:p>
    <w:p>
      <w:pPr>
        <w:pStyle w:val="Heading1"/>
        <w:spacing w:after="120" w:before="300"/>
      </w:pPr>
      <w:r>
        <w:rPr>
          <w:rFonts w:ascii="Arial" w:cs="Arial" w:eastAsia="Arial" w:hAnsi="Arial"/>
          <w:b/>
          <w:bCs/>
          <w:color w:val="1F4E79"/>
          <w:sz w:val="28"/>
          <w:szCs w:val="28"/>
        </w:rPr>
        <w:t xml:space="preserve">4. Example Use Cases</w:t>
      </w:r>
    </w:p>
    <w:p>
      <w:pPr>
        <w:pStyle w:val="ListParagraph"/>
        <w:numPr>
          <w:ilvl w:val="0"/>
          <w:numId w:val="2"/>
        </w:numPr>
        <w:spacing w:after="60"/>
      </w:pPr>
      <w:r>
        <w:rPr>
          <w:rFonts w:ascii="Arial" w:cs="Arial" w:eastAsia="Arial" w:hAnsi="Arial"/>
          <w:sz w:val="22"/>
          <w:szCs w:val="22"/>
        </w:rPr>
        <w:t xml:space="preserve">Knowledge and research assistants for internal departments.</w:t>
      </w:r>
    </w:p>
    <w:p>
      <w:pPr>
        <w:pStyle w:val="ListParagraph"/>
        <w:numPr>
          <w:ilvl w:val="0"/>
          <w:numId w:val="2"/>
        </w:numPr>
        <w:spacing w:after="60"/>
      </w:pPr>
      <w:r>
        <w:rPr>
          <w:rFonts w:ascii="Arial" w:cs="Arial" w:eastAsia="Arial" w:hAnsi="Arial"/>
          <w:sz w:val="22"/>
          <w:szCs w:val="22"/>
        </w:rPr>
        <w:t xml:space="preserve">Agents for document, proposal, reporting, or analysis processes.</w:t>
      </w:r>
    </w:p>
    <w:p>
      <w:pPr>
        <w:pStyle w:val="ListParagraph"/>
        <w:numPr>
          <w:ilvl w:val="0"/>
          <w:numId w:val="2"/>
        </w:numPr>
        <w:spacing w:after="60"/>
      </w:pPr>
      <w:r>
        <w:rPr>
          <w:rFonts w:ascii="Arial" w:cs="Arial" w:eastAsia="Arial" w:hAnsi="Arial"/>
          <w:sz w:val="22"/>
          <w:szCs w:val="22"/>
        </w:rPr>
        <w:t xml:space="preserve">Workflow agents with integration into existing business systems.</w:t>
      </w:r>
    </w:p>
    <w:p>
      <w:pPr>
        <w:pStyle w:val="ListParagraph"/>
        <w:numPr>
          <w:ilvl w:val="0"/>
          <w:numId w:val="2"/>
        </w:numPr>
        <w:spacing w:after="60"/>
      </w:pPr>
      <w:r>
        <w:rPr>
          <w:rFonts w:ascii="Arial" w:cs="Arial" w:eastAsia="Arial" w:hAnsi="Arial"/>
          <w:sz w:val="22"/>
          <w:szCs w:val="22"/>
        </w:rPr>
        <w:t xml:space="preserve">Assistance systems for specialist departments with human approval.</w:t>
      </w:r>
    </w:p>
    <w:p>
      <w:pPr>
        <w:pStyle w:val="ListParagraph"/>
        <w:numPr>
          <w:ilvl w:val="0"/>
          <w:numId w:val="2"/>
        </w:numPr>
        <w:spacing w:after="60"/>
      </w:pPr>
      <w:r>
        <w:rPr>
          <w:rFonts w:ascii="Arial" w:cs="Arial" w:eastAsia="Arial" w:hAnsi="Arial"/>
          <w:sz w:val="22"/>
          <w:szCs w:val="22"/>
        </w:rPr>
        <w:t xml:space="preserve">Automations to reduce manual handoffs, reviews, or repetitive coordination.</w:t>
      </w:r>
    </w:p>
    <w:p>
      <w:pPr>
        <w:pStyle w:val="ListParagraph"/>
        <w:numPr>
          <w:ilvl w:val="0"/>
          <w:numId w:val="2"/>
        </w:numPr>
        <w:spacing w:after="60"/>
      </w:pPr>
      <w:r>
        <w:rPr>
          <w:rFonts w:ascii="Arial" w:cs="Arial" w:eastAsia="Arial" w:hAnsi="Arial"/>
          <w:sz w:val="22"/>
          <w:szCs w:val="22"/>
        </w:rPr>
        <w:t xml:space="preserve">Governance, monitoring, or evaluation setups for productive AI applications.</w:t>
      </w:r>
    </w:p>
    <w:p>
      <w:r>
        <w:t xml:space="preserve"/>
      </w:r>
    </w:p>
    <w:p>
      <w:pPr>
        <w:pStyle w:val="Heading1"/>
        <w:spacing w:after="120" w:before="300"/>
      </w:pPr>
      <w:r>
        <w:rPr>
          <w:rFonts w:ascii="Arial" w:cs="Arial" w:eastAsia="Arial" w:hAnsi="Arial"/>
          <w:b/>
          <w:bCs/>
          <w:color w:val="1F4E79"/>
          <w:sz w:val="28"/>
          <w:szCs w:val="28"/>
        </w:rPr>
        <w:t xml:space="preserve">5. Mandatory Criteria</w:t>
      </w:r>
    </w:p>
    <w:p>
      <w:pPr>
        <w:pStyle w:val="ListParagraph"/>
        <w:numPr>
          <w:ilvl w:val="0"/>
          <w:numId w:val="2"/>
        </w:numPr>
        <w:spacing w:after="60"/>
      </w:pPr>
      <w:r>
        <w:rPr>
          <w:rFonts w:ascii="Arial" w:cs="Arial" w:eastAsia="Arial" w:hAnsi="Arial"/>
          <w:sz w:val="22"/>
          <w:szCs w:val="22"/>
        </w:rPr>
        <w:t xml:space="preserve">Demonstrable experience with production-grade AI or automation solutions in an enterprise environment.</w:t>
      </w:r>
    </w:p>
    <w:p>
      <w:pPr>
        <w:pStyle w:val="ListParagraph"/>
        <w:numPr>
          <w:ilvl w:val="0"/>
          <w:numId w:val="2"/>
        </w:numPr>
        <w:spacing w:after="60"/>
      </w:pPr>
      <w:r>
        <w:rPr>
          <w:rFonts w:ascii="Arial" w:cs="Arial" w:eastAsia="Arial" w:hAnsi="Arial"/>
          <w:sz w:val="22"/>
          <w:szCs w:val="22"/>
        </w:rPr>
        <w:t xml:space="preserve">Ability to deliver beyond the prototype stage.</w:t>
      </w:r>
    </w:p>
    <w:p>
      <w:pPr>
        <w:pStyle w:val="ListParagraph"/>
        <w:numPr>
          <w:ilvl w:val="0"/>
          <w:numId w:val="2"/>
        </w:numPr>
        <w:spacing w:after="60"/>
      </w:pPr>
      <w:r>
        <w:rPr>
          <w:rFonts w:ascii="Arial" w:cs="Arial" w:eastAsia="Arial" w:hAnsi="Arial"/>
          <w:sz w:val="22"/>
          <w:szCs w:val="22"/>
        </w:rPr>
        <w:t xml:space="preserve">Understanding of data protection, security, governance, and auditability.</w:t>
      </w:r>
    </w:p>
    <w:p>
      <w:pPr>
        <w:pStyle w:val="ListParagraph"/>
        <w:numPr>
          <w:ilvl w:val="0"/>
          <w:numId w:val="2"/>
        </w:numPr>
        <w:spacing w:after="60"/>
      </w:pPr>
      <w:r>
        <w:rPr>
          <w:rFonts w:ascii="Arial" w:cs="Arial" w:eastAsia="Arial" w:hAnsi="Arial"/>
          <w:sz w:val="22"/>
          <w:szCs w:val="22"/>
        </w:rPr>
        <w:t xml:space="preserve">Experience with existing enterprise systems and interfaces.</w:t>
      </w:r>
    </w:p>
    <w:p>
      <w:pPr>
        <w:pStyle w:val="ListParagraph"/>
        <w:numPr>
          <w:ilvl w:val="0"/>
          <w:numId w:val="2"/>
        </w:numPr>
        <w:spacing w:after="60"/>
      </w:pPr>
      <w:r>
        <w:rPr>
          <w:rFonts w:ascii="Arial" w:cs="Arial" w:eastAsia="Arial" w:hAnsi="Arial"/>
          <w:sz w:val="22"/>
          <w:szCs w:val="22"/>
        </w:rPr>
        <w:t xml:space="preserve">Co-creation and knowledge transfer to internal teams.</w:t>
      </w:r>
    </w:p>
    <w:p>
      <w:pPr>
        <w:pStyle w:val="ListParagraph"/>
        <w:numPr>
          <w:ilvl w:val="0"/>
          <w:numId w:val="2"/>
        </w:numPr>
        <w:spacing w:after="60"/>
      </w:pPr>
      <w:r>
        <w:rPr>
          <w:rFonts w:ascii="Arial" w:cs="Arial" w:eastAsia="Arial" w:hAnsi="Arial"/>
          <w:sz w:val="22"/>
          <w:szCs w:val="22"/>
        </w:rPr>
        <w:t xml:space="preserve">Transparent approach to effort, costs, team structure, and operating model.</w:t>
      </w:r>
    </w:p>
    <w:p>
      <w:pPr>
        <w:pStyle w:val="ListParagraph"/>
        <w:numPr>
          <w:ilvl w:val="0"/>
          <w:numId w:val="2"/>
        </w:numPr>
        <w:spacing w:after="60"/>
      </w:pPr>
      <w:r>
        <w:rPr>
          <w:rFonts w:ascii="Arial" w:cs="Arial" w:eastAsia="Arial" w:hAnsi="Arial"/>
          <w:sz w:val="22"/>
          <w:szCs w:val="22"/>
        </w:rPr>
        <w:t xml:space="preserve">Willingness to jointly define measurable impact and quality criteria.</w:t>
      </w:r>
    </w:p>
    <w:p>
      <w:r>
        <w:t xml:space="preserve"/>
      </w:r>
    </w:p>
    <w:p>
      <w:pPr>
        <w:pStyle w:val="Heading1"/>
        <w:spacing w:after="120" w:before="300"/>
      </w:pPr>
      <w:r>
        <w:rPr>
          <w:rFonts w:ascii="Arial" w:cs="Arial" w:eastAsia="Arial" w:hAnsi="Arial"/>
          <w:b/>
          <w:bCs/>
          <w:color w:val="1F4E79"/>
          <w:sz w:val="28"/>
          <w:szCs w:val="28"/>
        </w:rPr>
        <w:t xml:space="preserve">6. Response Structure</w:t>
      </w:r>
    </w:p>
    <w:p>
      <w:pPr>
        <w:pStyle w:val="ListParagraph"/>
        <w:numPr>
          <w:ilvl w:val="0"/>
          <w:numId w:val="3"/>
        </w:numPr>
        <w:spacing w:after="60"/>
      </w:pPr>
      <w:r>
        <w:rPr>
          <w:rFonts w:ascii="Arial" w:cs="Arial" w:eastAsia="Arial" w:hAnsi="Arial"/>
          <w:sz w:val="22"/>
          <w:szCs w:val="22"/>
        </w:rPr>
        <w:t xml:space="preserve">Brief profile of your company and the relevant unit.</w:t>
      </w:r>
    </w:p>
    <w:p>
      <w:pPr>
        <w:pStyle w:val="ListParagraph"/>
        <w:numPr>
          <w:ilvl w:val="0"/>
          <w:numId w:val="3"/>
        </w:numPr>
        <w:spacing w:after="60"/>
      </w:pPr>
      <w:r>
        <w:rPr>
          <w:rFonts w:ascii="Arial" w:cs="Arial" w:eastAsia="Arial" w:hAnsi="Arial"/>
          <w:sz w:val="22"/>
          <w:szCs w:val="22"/>
        </w:rPr>
        <w:t xml:space="preserve">Relevant services for agentic automations.</w:t>
      </w:r>
    </w:p>
    <w:p>
      <w:pPr>
        <w:pStyle w:val="ListParagraph"/>
        <w:numPr>
          <w:ilvl w:val="0"/>
          <w:numId w:val="3"/>
        </w:numPr>
        <w:spacing w:after="60"/>
      </w:pPr>
      <w:r>
        <w:rPr>
          <w:rFonts w:ascii="Arial" w:cs="Arial" w:eastAsia="Arial" w:hAnsi="Arial"/>
          <w:sz w:val="22"/>
          <w:szCs w:val="22"/>
        </w:rPr>
        <w:t xml:space="preserve">At least 3 example references or anonymised project experiences in comparable enterprise environments.</w:t>
      </w:r>
    </w:p>
    <w:p>
      <w:pPr>
        <w:pStyle w:val="ListParagraph"/>
        <w:numPr>
          <w:ilvl w:val="0"/>
          <w:numId w:val="3"/>
        </w:numPr>
        <w:spacing w:after="60"/>
      </w:pPr>
      <w:r>
        <w:rPr>
          <w:rFonts w:ascii="Arial" w:cs="Arial" w:eastAsia="Arial" w:hAnsi="Arial"/>
          <w:sz w:val="22"/>
          <w:szCs w:val="22"/>
        </w:rPr>
        <w:t xml:space="preserve">Technological approach and preferred platforms/frameworks.</w:t>
      </w:r>
    </w:p>
    <w:p>
      <w:pPr>
        <w:pStyle w:val="ListParagraph"/>
        <w:numPr>
          <w:ilvl w:val="0"/>
          <w:numId w:val="3"/>
        </w:numPr>
        <w:spacing w:after="60"/>
      </w:pPr>
      <w:r>
        <w:rPr>
          <w:rFonts w:ascii="Arial" w:cs="Arial" w:eastAsia="Arial" w:hAnsi="Arial"/>
          <w:sz w:val="22"/>
          <w:szCs w:val="22"/>
        </w:rPr>
        <w:t xml:space="preserve">Approach from discovery through MVP to production and maintenance/further development.</w:t>
      </w:r>
    </w:p>
    <w:p>
      <w:pPr>
        <w:pStyle w:val="ListParagraph"/>
        <w:numPr>
          <w:ilvl w:val="0"/>
          <w:numId w:val="3"/>
        </w:numPr>
        <w:spacing w:after="60"/>
      </w:pPr>
      <w:r>
        <w:rPr>
          <w:rFonts w:ascii="Arial" w:cs="Arial" w:eastAsia="Arial" w:hAnsi="Arial"/>
          <w:sz w:val="22"/>
          <w:szCs w:val="22"/>
        </w:rPr>
        <w:t xml:space="preserve">Security, governance, and data protection approach.</w:t>
      </w:r>
    </w:p>
    <w:p>
      <w:pPr>
        <w:pStyle w:val="ListParagraph"/>
        <w:numPr>
          <w:ilvl w:val="0"/>
          <w:numId w:val="3"/>
        </w:numPr>
        <w:spacing w:after="60"/>
      </w:pPr>
      <w:r>
        <w:rPr>
          <w:rFonts w:ascii="Arial" w:cs="Arial" w:eastAsia="Arial" w:hAnsi="Arial"/>
          <w:sz w:val="22"/>
          <w:szCs w:val="22"/>
        </w:rPr>
        <w:t xml:space="preserve">Typical project team, role model, and enablement/handover model.</w:t>
      </w:r>
    </w:p>
    <w:p>
      <w:pPr>
        <w:pStyle w:val="ListParagraph"/>
        <w:numPr>
          <w:ilvl w:val="0"/>
          <w:numId w:val="3"/>
        </w:numPr>
        <w:spacing w:after="60"/>
      </w:pPr>
      <w:r>
        <w:rPr>
          <w:rFonts w:ascii="Arial" w:cs="Arial" w:eastAsia="Arial" w:hAnsi="Arial"/>
          <w:sz w:val="22"/>
          <w:szCs w:val="22"/>
        </w:rPr>
        <w:t xml:space="preserve">Commercial model, rough effort ranges, and scaling options.</w:t>
      </w:r>
    </w:p>
    <w:p>
      <w:pPr>
        <w:pStyle w:val="ListParagraph"/>
        <w:numPr>
          <w:ilvl w:val="0"/>
          <w:numId w:val="3"/>
        </w:numPr>
        <w:spacing w:after="60"/>
      </w:pPr>
      <w:r>
        <w:rPr>
          <w:rFonts w:ascii="Arial" w:cs="Arial" w:eastAsia="Arial" w:hAnsi="Arial"/>
          <w:sz w:val="22"/>
          <w:szCs w:val="22"/>
        </w:rPr>
        <w:t xml:space="preserve">Assessment of which partner role(s) you are particularly suited for.</w:t>
      </w:r>
    </w:p>
    <w:p>
      <w:r>
        <w:t xml:space="preserve"/>
      </w:r>
    </w:p>
    <w:p>
      <w:pPr>
        <w:spacing w:after="240"/>
      </w:pPr>
      <w:r>
        <w:rPr>
          <w:rFonts w:ascii="Arial" w:cs="Arial" w:eastAsia="Arial" w:hAnsi="Arial"/>
          <w:i/>
          <w:iCs/>
          <w:color w:val="444444"/>
          <w:sz w:val="22"/>
          <w:szCs w:val="22"/>
        </w:rPr>
        <w:t xml:space="preserve">Note: Please clearly indicate which statements are backed by concrete project experience and which are based on general capabilities or assumptions.</w:t>
      </w:r>
    </w:p>
    <w:p>
      <w:pPr>
        <w:pStyle w:val="Heading1"/>
        <w:spacing w:after="120" w:before="300"/>
      </w:pPr>
      <w:r>
        <w:rPr>
          <w:rFonts w:ascii="Arial" w:cs="Arial" w:eastAsia="Arial" w:hAnsi="Arial"/>
          <w:b/>
          <w:bCs/>
          <w:color w:val="1F4E79"/>
          <w:sz w:val="28"/>
          <w:szCs w:val="28"/>
        </w:rPr>
        <w:t xml:space="preserve">7. Evaluation Criteria</w:t>
      </w:r>
    </w:p>
    <w:p>
      <w:pPr>
        <w:pStyle w:val="ListParagraph"/>
        <w:numPr>
          <w:ilvl w:val="0"/>
          <w:numId w:val="2"/>
        </w:numPr>
        <w:spacing w:after="60"/>
      </w:pPr>
      <w:r>
        <w:rPr>
          <w:rFonts w:ascii="Arial" w:cs="Arial" w:eastAsia="Arial" w:hAnsi="Arial"/>
          <w:sz w:val="22"/>
          <w:szCs w:val="22"/>
        </w:rPr>
        <w:t xml:space="preserve">Strategic fit for building production-ready agentic automations.</w:t>
      </w:r>
    </w:p>
    <w:p>
      <w:pPr>
        <w:pStyle w:val="ListParagraph"/>
        <w:numPr>
          <w:ilvl w:val="0"/>
          <w:numId w:val="2"/>
        </w:numPr>
        <w:spacing w:after="60"/>
      </w:pPr>
      <w:r>
        <w:rPr>
          <w:rFonts w:ascii="Arial" w:cs="Arial" w:eastAsia="Arial" w:hAnsi="Arial"/>
          <w:sz w:val="22"/>
          <w:szCs w:val="22"/>
        </w:rPr>
        <w:t xml:space="preserve">Demonstrable experience with LLM-based workflows and agents.</w:t>
      </w:r>
    </w:p>
    <w:p>
      <w:pPr>
        <w:pStyle w:val="ListParagraph"/>
        <w:numPr>
          <w:ilvl w:val="0"/>
          <w:numId w:val="2"/>
        </w:numPr>
        <w:spacing w:after="60"/>
      </w:pPr>
      <w:r>
        <w:rPr>
          <w:rFonts w:ascii="Arial" w:cs="Arial" w:eastAsia="Arial" w:hAnsi="Arial"/>
          <w:sz w:val="22"/>
          <w:szCs w:val="22"/>
        </w:rPr>
        <w:t xml:space="preserve">Enterprise integration capability, production readiness, and operational capability.</w:t>
      </w:r>
    </w:p>
    <w:p>
      <w:pPr>
        <w:pStyle w:val="ListParagraph"/>
        <w:numPr>
          <w:ilvl w:val="0"/>
          <w:numId w:val="2"/>
        </w:numPr>
        <w:spacing w:after="60"/>
      </w:pPr>
      <w:r>
        <w:rPr>
          <w:rFonts w:ascii="Arial" w:cs="Arial" w:eastAsia="Arial" w:hAnsi="Arial"/>
          <w:sz w:val="22"/>
          <w:szCs w:val="22"/>
        </w:rPr>
        <w:t xml:space="preserve">Security, data protection, and governance maturity.</w:t>
      </w:r>
    </w:p>
    <w:p>
      <w:pPr>
        <w:pStyle w:val="ListParagraph"/>
        <w:numPr>
          <w:ilvl w:val="0"/>
          <w:numId w:val="2"/>
        </w:numPr>
        <w:spacing w:after="60"/>
      </w:pPr>
      <w:r>
        <w:rPr>
          <w:rFonts w:ascii="Arial" w:cs="Arial" w:eastAsia="Arial" w:hAnsi="Arial"/>
          <w:sz w:val="22"/>
          <w:szCs w:val="22"/>
        </w:rPr>
        <w:t xml:space="preserve">Speed, implementation strength, and knowledge transfer.</w:t>
      </w:r>
    </w:p>
    <w:p>
      <w:pPr>
        <w:pStyle w:val="ListParagraph"/>
        <w:numPr>
          <w:ilvl w:val="0"/>
          <w:numId w:val="2"/>
        </w:numPr>
        <w:spacing w:after="60"/>
      </w:pPr>
      <w:r>
        <w:rPr>
          <w:rFonts w:ascii="Arial" w:cs="Arial" w:eastAsia="Arial" w:hAnsi="Arial"/>
          <w:sz w:val="22"/>
          <w:szCs w:val="22"/>
        </w:rPr>
        <w:t xml:space="preserve">Technological breadth, vendor neutrality, references, and commercial fit.</w:t>
      </w:r>
    </w:p>
    <w:p>
      <w:r>
        <w:t xml:space="preserve"/>
      </w:r>
    </w:p>
    <w:p>
      <w:pPr>
        <w:pStyle w:val="Heading1"/>
        <w:spacing w:after="120" w:before="300"/>
      </w:pPr>
      <w:r>
        <w:rPr>
          <w:rFonts w:ascii="Arial" w:cs="Arial" w:eastAsia="Arial" w:hAnsi="Arial"/>
          <w:b/>
          <w:bCs/>
          <w:color w:val="1F4E79"/>
          <w:sz w:val="28"/>
          <w:szCs w:val="28"/>
        </w:rPr>
        <w:t xml:space="preserve">8. Next Steps and Partnership Logic</w:t>
      </w:r>
    </w:p>
    <w:p>
      <w:pPr>
        <w:spacing w:after="160"/>
      </w:pPr>
      <w:r>
        <w:rPr>
          <w:rFonts w:ascii="Arial" w:cs="Arial" w:eastAsia="Arial" w:hAnsi="Arial"/>
          <w:sz w:val="24"/>
          <w:szCs w:val="24"/>
        </w:rPr>
        <w:t xml:space="preserve">After evaluating the RFI responses, a shortlist of suitable partners is planned. With selected partners, in-depth conversations, workshops, or a concrete pilot will then take place.</w:t>
      </w:r>
    </w:p>
    <w:p>
      <w:pPr>
        <w:spacing w:after="160"/>
      </w:pPr>
      <w:r>
        <w:rPr>
          <w:rFonts w:ascii="Arial" w:cs="Arial" w:eastAsia="Arial" w:hAnsi="Arial"/>
          <w:sz w:val="24"/>
          <w:szCs w:val="24"/>
        </w:rPr>
        <w:t xml:space="preserve">NEURA Robotics is fundamentally interested in long-term, trust-based partnerships. In the event of successful collaboration, follow-on projects, framework agreements, or scaling implementation and operational mandates may result.</w:t>
      </w:r>
    </w:p>
    <w:p>
      <w:pPr>
        <w:spacing w:after="320"/>
      </w:pPr>
      <w:r>
        <w:rPr>
          <w:rFonts w:ascii="Arial" w:cs="Arial" w:eastAsia="Arial" w:hAnsi="Arial"/>
          <w:sz w:val="24"/>
          <w:szCs w:val="24"/>
        </w:rPr>
        <w:t xml:space="preserve">The goal is not just the selection of a vendor, but the establishment of a robust partner setup that combines rapid implementation, secure integration, and long-term internal capability building.</w:t>
      </w:r>
    </w:p>
    <w:p>
      <w:pPr>
        <w:spacing w:after="120"/>
      </w:pPr>
      <w:r>
        <w:rPr>
          <w:rFonts w:ascii="Arial" w:cs="Arial" w:eastAsia="Arial" w:hAnsi="Arial"/>
          <w:sz w:val="24"/>
          <w:szCs w:val="24"/>
        </w:rPr>
        <w:t xml:space="preserve">Kind regards,</w:t>
      </w:r>
    </w:p>
    <w:p>
      <w:r>
        <w:t xml:space="preserve"/>
      </w:r>
    </w:p>
    <w:p>
      <w:pPr>
        <w:spacing w:after="60"/>
      </w:pPr>
      <w:r>
        <w:rPr>
          <w:rFonts w:ascii="Arial" w:cs="Arial" w:eastAsia="Arial" w:hAnsi="Arial"/>
          <w:b/>
          <w:bCs/>
          <w:sz w:val="24"/>
          <w:szCs w:val="24"/>
        </w:rPr>
        <w:t xml:space="preserve">Neura Robotics GmbH</w:t>
      </w:r>
    </w:p>
    <w:p>
      <w:r>
        <w:t xml:space="preserve"/>
      </w:r>
    </w:p>
    <w:p>
      <w:pPr>
        <w:spacing w:after="60"/>
      </w:pPr>
      <w:r>
        <w:rPr>
          <w:rFonts w:ascii="Arial" w:cs="Arial" w:eastAsia="Arial" w:hAnsi="Arial"/>
          <w:sz w:val="24"/>
          <w:szCs w:val="24"/>
        </w:rPr>
        <w:t xml:space="preserve">Kai Kölsch</w:t>
      </w:r>
    </w:p>
    <w:p>
      <w:pPr>
        <w:spacing w:after="60"/>
      </w:pPr>
      <w:r>
        <w:rPr>
          <w:rFonts w:ascii="Arial" w:cs="Arial" w:eastAsia="Arial" w:hAnsi="Arial"/>
          <w:sz w:val="24"/>
          <w:szCs w:val="24"/>
        </w:rPr>
        <w:t xml:space="preserve">Head of CEO Office</w:t>
      </w:r>
    </w:p>
    <w:p>
      <w:pPr>
        <w:spacing w:after="60"/>
      </w:pPr>
      <w:r>
        <w:rPr>
          <w:rFonts w:ascii="Arial" w:cs="Arial" w:eastAsia="Arial" w:hAnsi="Arial"/>
          <w:color w:val="2E75B6"/>
          <w:sz w:val="24"/>
          <w:szCs w:val="24"/>
        </w:rPr>
        <w:t xml:space="preserve">kai.koelsch@neura-robotics.com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20"/>
        <w:szCs w:val="20"/>
      </w:rPr>
      <w:t xml:space="preserve">Neura Robotics GmbH</w:t>
    </w:r>
    <w:r>
      <w:rPr>
        <w:rFonts w:ascii="Arial" w:cs="Arial" w:eastAsia="Arial" w:hAnsi="Arial"/>
        <w:color w:val="666666"/>
        <w:sz w:val="18"/>
        <w:szCs w:val="18"/>
      </w:rPr>
      <w:t xml:space="preserve">   |   Gutenbergstraße 44, 72555 Metzingen, Germany   |   info@neura-robotics.com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2026-05-27T09:54:01.116Z</dcterms:created>
  <dcterms:modified xsi:type="dcterms:W3CDTF">2026-05-27T09:54:01.116Z</dcterms:modified>
</cp:coreProperties>
</file>

<file path=docProps/custom.xml><?xml version="1.0" encoding="utf-8"?>
<Properties xmlns="http://schemas.openxmlformats.org/officeDocument/2006/custom-properties" xmlns:vt="http://schemas.openxmlformats.org/officeDocument/2006/docPropsVTypes"/>
</file>