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Auto-generated</w:t>
      </w:r>
      <w:r>
        <w:t xml:space="preserve"> </w:t>
      </w:r>
      <w:r>
        <w:t xml:space="preserve">report</w:t>
      </w:r>
      <w:r>
        <w:t xml:space="preserve"> </w:t>
      </w:r>
      <w:r>
        <w:t xml:space="preserve">from</w:t>
      </w:r>
      <w:r>
        <w:t xml:space="preserve"> </w:t>
      </w:r>
      <w:r>
        <w:t xml:space="preserve">BCEAweb</w:t>
      </w:r>
    </w:p>
    <w:p>
      <w:pPr>
        <w:pStyle w:val="Date"/>
      </w:pPr>
      <w:r>
        <w:t xml:space="preserve">Version:</w:t>
      </w:r>
      <w:r>
        <w:t xml:space="preserve"> </w:t>
      </w:r>
      <w:r>
        <w:t xml:space="preserve">21</w:t>
      </w:r>
      <w:r>
        <w:t xml:space="preserve"> </w:t>
      </w:r>
      <w:r>
        <w:t xml:space="preserve">December,</w:t>
      </w:r>
      <w:r>
        <w:t xml:space="preserve"> </w:t>
      </w:r>
      <w:r>
        <w:t xml:space="preserve">2024</w:t>
      </w:r>
    </w:p>
    <w:bookmarkStart w:id="25" w:name="economic-analysis"/>
    <w:p>
      <w:pPr>
        <w:pStyle w:val="Heading1"/>
      </w:pPr>
      <w:r>
        <w:t xml:space="preserve">Economic Analysis</w:t>
      </w:r>
    </w:p>
    <w:p>
      <w:pPr>
        <w:pStyle w:val="FirstParagraph"/>
      </w:pPr>
      <w:r>
        <w:t xml:space="preserve">This section contains a summary of the economic evaluation.</w:t>
      </w:r>
    </w:p>
    <w:bookmarkStart w:id="20" w:name="cost-effectiveness-analysis"/>
    <w:p>
      <w:pPr>
        <w:pStyle w:val="Heading2"/>
      </w:pPr>
      <w:r>
        <w:t xml:space="preserve">Cost-effectiveness analysis</w:t>
      </w:r>
    </w:p>
    <w:p>
      <w:pPr>
        <w:pStyle w:val="FirstParagraph"/>
      </w:pPr>
      <w:r>
        <w:t xml:space="preserve">This sub-section presents a summary table reporting basic economic results as well as the optimal decision, given the selected willingness-to-pay threshold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25000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Cost-effectiveness analysis summary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Reference intervention:  Intervention1</w:t>
      </w:r>
      <w:r>
        <w:br/>
      </w:r>
      <w:r>
        <w:rPr>
          <w:rStyle w:val="VerbatimChar"/>
        </w:rPr>
        <w:t xml:space="preserve">  Comparator intervention(s): Intervention2</w:t>
      </w:r>
      <w:r>
        <w:br/>
      </w:r>
      <w:r>
        <w:rPr>
          <w:rStyle w:val="VerbatimChar"/>
        </w:rPr>
        <w:t xml:space="preserve">                            : Intervention3</w:t>
      </w:r>
      <w:r>
        <w:br/>
      </w:r>
      <w:r>
        <w:rPr>
          <w:rStyle w:val="VerbatimChar"/>
        </w:rPr>
        <w:t xml:space="preserve">                            : Intervention4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Optimal decision: choose Intervention1 for k &lt; 200</w:t>
      </w:r>
      <w:r>
        <w:br/>
      </w:r>
      <w:r>
        <w:rPr>
          <w:rStyle w:val="VerbatimChar"/>
        </w:rPr>
        <w:t xml:space="preserve">                           Intervention2 for 200 &lt;= k &lt; 300</w:t>
      </w:r>
      <w:r>
        <w:br/>
      </w:r>
      <w:r>
        <w:rPr>
          <w:rStyle w:val="VerbatimChar"/>
        </w:rPr>
        <w:t xml:space="preserve">                           Intervention4 for k &gt;= 300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Analysis for willingness to pay parameter k = 25000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Expected net benefit</w:t>
      </w:r>
      <w:r>
        <w:br/>
      </w:r>
      <w:r>
        <w:rPr>
          <w:rStyle w:val="VerbatimChar"/>
        </w:rPr>
        <w:t xml:space="preserve">  Intervention1                10263</w:t>
      </w:r>
      <w:r>
        <w:br/>
      </w:r>
      <w:r>
        <w:rPr>
          <w:rStyle w:val="VerbatimChar"/>
        </w:rPr>
        <w:t xml:space="preserve">  Intervention2                17423</w:t>
      </w:r>
      <w:r>
        <w:br/>
      </w:r>
      <w:r>
        <w:rPr>
          <w:rStyle w:val="VerbatimChar"/>
        </w:rPr>
        <w:t xml:space="preserve">  Intervention3                22289</w:t>
      </w:r>
      <w:r>
        <w:br/>
      </w:r>
      <w:r>
        <w:rPr>
          <w:rStyle w:val="VerbatimChar"/>
        </w:rPr>
        <w:t xml:space="preserve">  Intervention4                28182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                   EIB  CEAC   ICER</w:t>
      </w:r>
      <w:r>
        <w:br/>
      </w:r>
      <w:r>
        <w:rPr>
          <w:rStyle w:val="VerbatimChar"/>
        </w:rPr>
        <w:t xml:space="preserve">  Intervention1 vs Intervention2  -7160.3 0.056 158.66</w:t>
      </w:r>
      <w:r>
        <w:br/>
      </w:r>
      <w:r>
        <w:rPr>
          <w:rStyle w:val="VerbatimChar"/>
        </w:rPr>
        <w:t xml:space="preserve">  Intervention1 vs Intervention3 -12026.5 0.006 195.77</w:t>
      </w:r>
      <w:r>
        <w:br/>
      </w:r>
      <w:r>
        <w:rPr>
          <w:rStyle w:val="VerbatimChar"/>
        </w:rPr>
        <w:t xml:space="preserve">  Intervention1 vs Intervention4 -17919.7 0.000 198.33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Optimal intervention (max expected net benefit) for k = 25000: Intervention4</w:t>
      </w:r>
      <w:r>
        <w:br/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  EVPI 1545.1</w:t>
      </w:r>
    </w:p>
    <w:bookmarkEnd w:id="20"/>
    <w:bookmarkStart w:id="24" w:name="cost-effectiveness-plane"/>
    <w:p>
      <w:pPr>
        <w:pStyle w:val="Heading2"/>
      </w:pPr>
      <w:r>
        <w:t xml:space="preserve">Cost-effectiveness plane</w:t>
      </w:r>
    </w:p>
    <w:p>
      <w:pPr>
        <w:pStyle w:val="FirstParagraph"/>
      </w:pPr>
      <w:r>
        <w:t xml:space="preserve">The following graph shows the cost-effectiveness plane. This presents the joint distribution of the population average benefit and cost differential,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Δ</m:t>
                </m:r>
              </m:e>
              <m:sub>
                <m:r>
                  <m:t>e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Δ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Each point in the graph represents a</w:t>
      </w:r>
      <w:r>
        <w:t xml:space="preserve"> </w:t>
      </w:r>
      <w:r>
        <w:t xml:space="preserve">‘</w:t>
      </w:r>
      <w:r>
        <w:t xml:space="preserve">potential future</w:t>
      </w:r>
      <w:r>
        <w:t xml:space="preserve">’</w:t>
      </w:r>
      <w:r>
        <w:t xml:space="preserve"> </w:t>
      </w:r>
      <w:r>
        <w:t xml:space="preserve">in terms of expected incremental economic outcomes. The shaded portion of the plane is the</w:t>
      </w:r>
      <w:r>
        <w:t xml:space="preserve"> </w:t>
      </w:r>
      <w:r>
        <w:t xml:space="preserve">‘</w:t>
      </w:r>
      <w:r>
        <w:rPr>
          <w:iCs/>
          <w:i/>
        </w:rPr>
        <w:t xml:space="preserve">sustainability area</w:t>
      </w:r>
      <w:r>
        <w:t xml:space="preserve">’</w:t>
      </w:r>
      <w:r>
        <w:t xml:space="preserve">. The more points lay in the sustainability area, the more likely that the reference intervention will turn out to be cost-effective, at a given willingness to pay threshold,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(in this case selected at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</m:oMath>
      <w:r>
        <w:t xml:space="preserve"> </w:t>
      </w:r>
      <w:r>
        <w:t xml:space="preserve">25000)</w:t>
      </w:r>
    </w:p>
    <w:p>
      <w:pPr>
        <w:pStyle w:val="BodyText"/>
      </w:pPr>
      <w:r>
        <w:drawing>
          <wp:inline>
            <wp:extent cx="4244741" cy="424474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ort_files/figure-docx/unnamed-chunk-30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34" w:name="probabilistic-sensitivity-analysis"/>
    <w:p>
      <w:pPr>
        <w:pStyle w:val="Heading1"/>
      </w:pPr>
      <w:r>
        <w:t xml:space="preserve">Probabilistic Sensitivity Analysis</w:t>
      </w:r>
    </w:p>
    <w:p>
      <w:pPr>
        <w:pStyle w:val="FirstParagraph"/>
      </w:pPr>
      <w:r>
        <w:t xml:space="preserve">This section presents the results of Probabilistic Sensitivity Analysis (PSA). PSA is used to assess the impact of parameter uncertainty on the decision-making process.</w:t>
      </w:r>
    </w:p>
    <w:p>
      <w:pPr>
        <w:pStyle w:val="SourceCode"/>
      </w:pPr>
      <w:r>
        <w:rPr>
          <w:rStyle w:val="VerbatimChar"/>
        </w:rPr>
        <w:t xml:space="preserve">## Called from: eval(expr, envir, enclos)</w:t>
      </w:r>
    </w:p>
    <w:bookmarkStart w:id="29" w:name="cost-effectiveness-acceptability-curve"/>
    <w:p>
      <w:pPr>
        <w:pStyle w:val="Heading2"/>
      </w:pPr>
      <w:r>
        <w:t xml:space="preserve">Cost-effectiveness acceptability curve</w:t>
      </w:r>
    </w:p>
    <w:p>
      <w:pPr>
        <w:pStyle w:val="FirstParagraph"/>
      </w:pPr>
      <w:r>
        <w:t xml:space="preserve">The following graph shows the cost-effectiveness acceptability curve (CEAC). The CEAC represents the proportion of</w:t>
      </w:r>
      <w:r>
        <w:t xml:space="preserve"> </w:t>
      </w:r>
      <w:r>
        <w:t xml:space="preserve">‘</w:t>
      </w:r>
      <w:r>
        <w:t xml:space="preserve">potential futures</w:t>
      </w:r>
      <w:r>
        <w:t xml:space="preserve">’</w:t>
      </w:r>
      <w:r>
        <w:t xml:space="preserve"> </w:t>
      </w:r>
      <w:r>
        <w:t xml:space="preserve">in which the reference intervention is estimated to be more cost-effective than the comparator. Thus, it can be interpreted as the</w:t>
      </w:r>
      <w:r>
        <w:t xml:space="preserve"> </w:t>
      </w:r>
      <w:r>
        <w:t xml:space="preserve">‘</w:t>
      </w:r>
      <w:r>
        <w:t xml:space="preserve">probability of cost-effectiveness</w:t>
      </w:r>
      <w:r>
        <w:t xml:space="preserve">’</w:t>
      </w:r>
      <w:r>
        <w:t xml:space="preserve">.</w:t>
      </w:r>
    </w:p>
    <w:p>
      <w:pPr>
        <w:pStyle w:val="BodyText"/>
      </w:pPr>
      <w:r>
        <w:drawing>
          <wp:inline>
            <wp:extent cx="4244741" cy="424474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files/figure-docx/unnamed-chunk-4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41a104f7eb1dc5278e6d6c8765b4db995a2b71a"/>
    <w:p>
      <w:pPr>
        <w:pStyle w:val="Heading2"/>
      </w:pPr>
      <w:r>
        <w:t xml:space="preserve">Cost-effectiveness acceptability frontier</w:t>
      </w:r>
    </w:p>
    <w:p>
      <w:pPr>
        <w:pStyle w:val="FirstParagraph"/>
      </w:pPr>
      <w:r>
        <w:drawing>
          <wp:inline>
            <wp:extent cx="4244741" cy="424474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port_files/figure-docx/unnamed-chunk-4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Auto-generated report from BCEAweb</dc:title>
  <dc:creator/>
  <cp:keywords/>
  <dcterms:created xsi:type="dcterms:W3CDTF">2024-12-21T03:23:20Z</dcterms:created>
  <dcterms:modified xsi:type="dcterms:W3CDTF">2024-12-21T03:23:20Z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Version: 21 December, 2024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