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w:t>
      </w:r>
      <w:proofErr w:type="gramStart"/>
      <w:r>
        <w:rPr>
          <w:rFonts w:eastAsia="Times New Roman" w:cs="Times New Roman"/>
          <w:lang w:val="fr-FR"/>
        </w:rPr>
        <w:t>2:</w:t>
      </w:r>
      <w:proofErr w:type="gramEnd"/>
      <w:r>
        <w:rPr>
          <w:rFonts w:eastAsia="Times New Roman" w:cs="Times New Roman"/>
          <w:lang w:val="fr-FR"/>
        </w:rPr>
        <w:t xml:space="preserve">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r w:rsidR="00227E48">
        <w:rPr>
          <w:rFonts w:eastAsia="Times New Roman" w:cs="Times New Roman"/>
          <w:lang w:val="fr-FR"/>
        </w:rPr>
        <w:t xml:space="preserve">cover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77777777" w:rsidR="00D03BFC" w:rsidRDefault="00D03BFC">
      <w:pPr>
        <w:pStyle w:val="NormalWeb"/>
      </w:pPr>
      <w:r>
        <w:t xml:space="preserve">    A. Open ArcGIS (Programs -&gt; </w:t>
      </w:r>
      <w:proofErr w:type="spellStart"/>
      <w:r>
        <w:t>ScienceApps</w:t>
      </w:r>
      <w:proofErr w:type="spellEnd"/>
      <w:r>
        <w:t xml:space="preserve"> -&gt; ArcGIS -&gt; ArcMap 10.3.1)</w:t>
      </w:r>
    </w:p>
    <w:p w14:paraId="24891899" w14:textId="4302A9D1" w:rsidR="00D03BFC" w:rsidRDefault="00D03BFC">
      <w:pPr>
        <w:pStyle w:val="NormalWeb"/>
      </w:pPr>
      <w:r>
        <w:t xml:space="preserve">    B. Open the </w:t>
      </w:r>
      <w:proofErr w:type="spellStart"/>
      <w:r>
        <w:t>arcmap</w:t>
      </w:r>
      <w:proofErr w:type="spellEnd"/>
      <w:r>
        <w:t xml:space="preserve"> project R:\</w:t>
      </w:r>
      <w:r w:rsidRPr="006C7290">
        <w:t>Winter201</w:t>
      </w:r>
      <w:r w:rsidR="006C7290" w:rsidRPr="006C7290">
        <w:t>9</w:t>
      </w:r>
      <w:r w:rsidRPr="006C7290">
        <w:t>\</w:t>
      </w:r>
      <w:r>
        <w:t>ESM215\data\datavu.mx</w:t>
      </w:r>
      <w:r w:rsidR="00B31283">
        <w:t>d (File -&gt; open -&gt; R:\Winter2017</w:t>
      </w:r>
      <w:r>
        <w:t>\ESM215\data\datavu.mxd). [</w:t>
      </w:r>
      <w:proofErr w:type="gramStart"/>
      <w:r>
        <w:t>You  should</w:t>
      </w:r>
      <w:proofErr w:type="gramEnd"/>
      <w:r>
        <w:t xml:space="preserve"> save the file to your own local directory.] </w:t>
      </w:r>
    </w:p>
    <w:p w14:paraId="3A817B27" w14:textId="4723ACB9" w:rsidR="00D03BFC" w:rsidRDefault="00D03BFC">
      <w:pPr>
        <w:pStyle w:val="NormalWeb"/>
      </w:pPr>
      <w:r>
        <w:t xml:space="preserve">    C. The project legend includes a variety of data files, which can be found in </w:t>
      </w:r>
      <w:hyperlink r:id="rId5" w:history="1">
        <w:r>
          <w:rPr>
            <w:rStyle w:val="Hyperlink"/>
          </w:rPr>
          <w:t>R:\Winter2017\ESM215\data\</w:t>
        </w:r>
      </w:hyperlink>
      <w:r>
        <w:t xml:space="preserve"> (To build a local database, use Arc Catalogue to copy these data to your own local working directory). </w:t>
      </w:r>
    </w:p>
    <w:p w14:paraId="145E4B48" w14:textId="2548B0BF" w:rsidR="00D03BFC" w:rsidRDefault="00D03BFC">
      <w:pPr>
        <w:pStyle w:val="NormalWeb"/>
      </w:pPr>
      <w:r>
        <w:t> </w:t>
      </w:r>
      <w:proofErr w:type="spellStart"/>
      <w:r>
        <w:rPr>
          <w:b/>
          <w:bCs/>
        </w:rPr>
        <w:t>airphoto</w:t>
      </w:r>
      <w:proofErr w:type="spellEnd"/>
      <w:r w:rsidR="00F46251">
        <w:t xml:space="preserve"> </w:t>
      </w:r>
      <w:r w:rsidR="00422977">
        <w:t>–</w:t>
      </w:r>
      <w:r w:rsidR="00F46251">
        <w:t xml:space="preserve"> 2</w:t>
      </w:r>
      <w:r w:rsidR="00422977">
        <w:t xml:space="preserve"> </w:t>
      </w:r>
      <w:r>
        <w:t xml:space="preserve">m resolution raster: </w:t>
      </w:r>
      <w:r w:rsidR="00F46251">
        <w:t>true color air photo mosaic, 200</w:t>
      </w:r>
      <w:r>
        <w:t>4</w:t>
      </w:r>
    </w:p>
    <w:p w14:paraId="396D8248" w14:textId="34FF4F92" w:rsidR="00F46251" w:rsidRPr="00F46251" w:rsidRDefault="00F46251">
      <w:pPr>
        <w:pStyle w:val="NormalWeb"/>
      </w:pPr>
      <w:r w:rsidRPr="00F46251">
        <w:rPr>
          <w:b/>
        </w:rPr>
        <w:t>naip</w:t>
      </w:r>
      <w:r w:rsidR="008E0E2C">
        <w:rPr>
          <w:b/>
        </w:rPr>
        <w:t>20</w:t>
      </w:r>
      <w:r w:rsidRPr="00F46251">
        <w:rPr>
          <w:b/>
        </w:rPr>
        <w:t>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1A2BBF0E" w:rsidR="00D03BFC" w:rsidRDefault="00D03BFC">
      <w:pPr>
        <w:pStyle w:val="NormalWeb"/>
      </w:pPr>
      <w:r>
        <w:t> </w:t>
      </w:r>
      <w:proofErr w:type="spellStart"/>
      <w:r w:rsidR="0026633E">
        <w:rPr>
          <w:b/>
          <w:bCs/>
        </w:rPr>
        <w:t>subgeol</w:t>
      </w:r>
      <w:proofErr w:type="spellEnd"/>
      <w:r>
        <w:t xml:space="preserve">– A subregion </w:t>
      </w:r>
      <w:proofErr w:type="gramStart"/>
      <w:r>
        <w:t>of  the</w:t>
      </w:r>
      <w:proofErr w:type="gramEnd"/>
      <w:r>
        <w:t xml:space="preserve"> 1:250,000 scale geologic map of CA. 30 m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04A2E2BE" w:rsidR="00D03BFC" w:rsidRDefault="00D03BFC">
      <w:pPr>
        <w:pStyle w:val="NormalWeb"/>
      </w:pPr>
      <w:r>
        <w:t> </w:t>
      </w:r>
      <w:r w:rsidR="006A4A01">
        <w:rPr>
          <w:b/>
          <w:bCs/>
        </w:rPr>
        <w:t>subsoil</w:t>
      </w:r>
      <w:r>
        <w:rPr>
          <w:b/>
          <w:bCs/>
        </w:rPr>
        <w:t xml:space="preserve"> – </w:t>
      </w:r>
      <w:r>
        <w:t>A subregion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77777777" w:rsidR="00D03BFC" w:rsidRDefault="00D03BFC">
      <w:pPr>
        <w:pStyle w:val="NormalWeb"/>
      </w:pPr>
      <w:r>
        <w:t> </w:t>
      </w:r>
      <w:proofErr w:type="spellStart"/>
      <w:r w:rsidR="006A4A01" w:rsidRPr="006A4A01">
        <w:rPr>
          <w:b/>
        </w:rPr>
        <w:t>sub</w:t>
      </w:r>
      <w:r w:rsidR="006A4A01">
        <w:rPr>
          <w:b/>
        </w:rPr>
        <w:t>synez</w:t>
      </w:r>
      <w:r>
        <w:rPr>
          <w:b/>
          <w:bCs/>
        </w:rPr>
        <w:t>dem</w:t>
      </w:r>
      <w:proofErr w:type="spellEnd"/>
      <w:r>
        <w:t xml:space="preserve"> - 28m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77777777" w:rsidR="00CF57E3" w:rsidRDefault="00CF57E3">
      <w:pPr>
        <w:pStyle w:val="NormalWeb"/>
      </w:pPr>
      <w:r>
        <w:t> </w:t>
      </w:r>
      <w:proofErr w:type="spellStart"/>
      <w:r>
        <w:rPr>
          <w:b/>
          <w:bCs/>
        </w:rPr>
        <w:t>subshad</w:t>
      </w:r>
      <w:proofErr w:type="spellEnd"/>
      <w:r>
        <w:t xml:space="preserve"> </w:t>
      </w:r>
      <w:proofErr w:type="gramStart"/>
      <w:r>
        <w:t>-  28</w:t>
      </w:r>
      <w:proofErr w:type="gramEnd"/>
      <w:r>
        <w:t xml:space="preserve">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lastRenderedPageBreak/>
        <w:t>subwinrad3</w:t>
      </w:r>
      <w:r>
        <w:t xml:space="preserve"> – </w:t>
      </w:r>
      <w:proofErr w:type="spellStart"/>
      <w:r>
        <w:t>subwintrad</w:t>
      </w:r>
      <w:proofErr w:type="spellEnd"/>
      <w:r>
        <w:t xml:space="preserve"> reclassified into 3 radiation classes</w:t>
      </w:r>
      <w:r w:rsidR="00093A54">
        <w:t>. Use this grid for the exercise.</w:t>
      </w:r>
    </w:p>
    <w:p w14:paraId="01A1E9C1" w14:textId="77777777" w:rsidR="00CF57E3" w:rsidRDefault="00CF57E3">
      <w:pPr>
        <w:pStyle w:val="NormalWeb"/>
      </w:pPr>
      <w:proofErr w:type="spellStart"/>
      <w:r>
        <w:rPr>
          <w:b/>
          <w:bCs/>
        </w:rPr>
        <w:t>subradsum</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subregion corresponding to subsoil30. Pixel values are the drainage area for each pixel. (The data are noisy because errors in the dem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3A25E127" w:rsidR="00D03BFC" w:rsidRDefault="00C74F21">
      <w:pPr>
        <w:pStyle w:val="NormalWeb"/>
      </w:pPr>
      <w:r>
        <w:rPr>
          <w:b/>
          <w:bCs/>
        </w:rPr>
        <w:t>subfire15</w:t>
      </w:r>
      <w:r w:rsidR="00D03BFC">
        <w:t xml:space="preserve"> </w:t>
      </w:r>
      <w:r>
        <w:t>–</w:t>
      </w:r>
      <w:r w:rsidR="00D03BFC">
        <w:t xml:space="preserve"> </w:t>
      </w:r>
      <w:r>
        <w:t>28m grid of fire</w:t>
      </w:r>
      <w:r w:rsidR="00D03BFC">
        <w:t>s from 1900-</w:t>
      </w:r>
      <w:r>
        <w:t>1915</w:t>
      </w:r>
      <w:r w:rsidR="00D03BFC">
        <w:t xml:space="preserve"> (incomplete</w:t>
      </w:r>
      <w:r>
        <w:t>!</w:t>
      </w:r>
      <w:r w:rsidR="00D03BFC">
        <w:t>),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2D2FE673" w:rsidR="00543D62" w:rsidRDefault="00543D62">
      <w:pPr>
        <w:pStyle w:val="NormalWeb"/>
      </w:pPr>
      <w:proofErr w:type="spellStart"/>
      <w:r>
        <w:rPr>
          <w:b/>
          <w:bCs/>
        </w:rPr>
        <w:t>subveg</w:t>
      </w:r>
      <w:proofErr w:type="spellEnd"/>
      <w:r w:rsidR="008923DA">
        <w:t>   - 28</w:t>
      </w:r>
      <w:r>
        <w:t xml:space="preserve">m raster: 1990-2014 </w:t>
      </w:r>
      <w:r w:rsidR="00D03BFC">
        <w:t>vegetatio</w:t>
      </w:r>
      <w:r>
        <w:t>n/land cover map produced (mainly) from Landsat Thematic M</w:t>
      </w:r>
      <w:r w:rsidR="00D03BFC">
        <w:t xml:space="preserve">apper satellite imagery. </w:t>
      </w:r>
      <w:r>
        <w:t>California Wildlife Ha</w:t>
      </w:r>
      <w:r w:rsidR="008E0E2C">
        <w:t xml:space="preserve">bitat Types are shown here. </w:t>
      </w:r>
      <w:hyperlink r:id="rId10" w:history="1">
        <w:r w:rsidR="008E0E2C" w:rsidRPr="008E0E2C">
          <w:rPr>
            <w:rStyle w:val="Hyperlink"/>
          </w:rPr>
          <w:t>Here</w:t>
        </w:r>
      </w:hyperlink>
      <w:r w:rsidR="008E0E2C">
        <w:t xml:space="preserve"> is </w:t>
      </w:r>
      <w:r>
        <w:t>a description of the data</w:t>
      </w:r>
      <w:r w:rsidR="008E0E2C">
        <w:t>.</w:t>
      </w:r>
    </w:p>
    <w:p w14:paraId="7AEB9996" w14:textId="6D29A352" w:rsidR="00093A54" w:rsidRDefault="00093A54">
      <w:pPr>
        <w:pStyle w:val="NormalWeb"/>
      </w:pPr>
      <w:r w:rsidRPr="00093A54">
        <w:rPr>
          <w:b/>
        </w:rPr>
        <w:t xml:space="preserve">subveg15 </w:t>
      </w:r>
      <w:r>
        <w:t xml:space="preserve">– a reclassification of </w:t>
      </w:r>
      <w:proofErr w:type="spellStart"/>
      <w:r>
        <w:t>subveg</w:t>
      </w:r>
      <w:proofErr w:type="spellEnd"/>
      <w:r>
        <w:t xml:space="preserve"> merging some agricultural classes. Use this grid for the exercise.</w:t>
      </w:r>
    </w:p>
    <w:p w14:paraId="459B9326" w14:textId="77777777" w:rsidR="00D03BFC" w:rsidRDefault="00D03BFC">
      <w:pPr>
        <w:pStyle w:val="NormalWeb"/>
      </w:pPr>
      <w:r>
        <w:t>In lab spend some time learning to display the data. Overlay individual layers and combinations on the air photo. Zoom in and out. Play with the symbology. Get the feel for ArcGIS as a visualization environment. In</w:t>
      </w:r>
      <w:r w:rsidR="00543D62">
        <w:t xml:space="preserve"> particular, examine apparent </w:t>
      </w:r>
      <w:r>
        <w:t xml:space="preserve">land cover pattern (air </w:t>
      </w:r>
      <w:proofErr w:type="gramStart"/>
      <w:r w:rsidR="00543D62">
        <w:t>photo)  and</w:t>
      </w:r>
      <w:proofErr w:type="gramEnd"/>
      <w:r w:rsidR="00543D62">
        <w:t xml:space="preserve"> vegetation pattern (</w:t>
      </w:r>
      <w:proofErr w:type="spellStart"/>
      <w:r w:rsidR="00543D62">
        <w:t>subveg</w:t>
      </w:r>
      <w:proofErr w:type="spellEnd"/>
      <w:r w:rsidR="00543D62">
        <w:t xml:space="preserve">) </w:t>
      </w:r>
      <w:r>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A21BB6E" w:rsidR="00D03BFC" w:rsidRDefault="00D03BFC">
      <w:pPr>
        <w:pStyle w:val="NormalWeb"/>
      </w:pPr>
      <w:r>
        <w:t>You will be analyzing vegetation pattern in the area covered by the 30 m grid sublandfire30 in your project legend. Here are the steps:</w:t>
      </w:r>
    </w:p>
    <w:p w14:paraId="4DADD784" w14:textId="2978F270" w:rsidR="00D03BFC" w:rsidRDefault="00FA4638">
      <w:pPr>
        <w:pStyle w:val="NormalWeb"/>
      </w:pPr>
      <w:r>
        <w:lastRenderedPageBreak/>
        <w:t>1) G</w:t>
      </w:r>
      <w:r w:rsidR="00D03BFC">
        <w:t>enerate a random sample of points at which you will c</w:t>
      </w:r>
      <w:r>
        <w:t xml:space="preserve">ollect information on land cover </w:t>
      </w:r>
      <w:r w:rsidR="00D03BFC">
        <w:t>class</w:t>
      </w:r>
      <w:r>
        <w:t xml:space="preserve"> (</w:t>
      </w:r>
      <w:proofErr w:type="spellStart"/>
      <w:r w:rsidRPr="00FA4638">
        <w:rPr>
          <w:b/>
        </w:rPr>
        <w:t>subveg</w:t>
      </w:r>
      <w:proofErr w:type="spellEnd"/>
      <w:r>
        <w:t>)</w:t>
      </w:r>
      <w:r w:rsidR="00D03BFC">
        <w:t>, geology</w:t>
      </w:r>
      <w:r>
        <w:t xml:space="preserve"> (</w:t>
      </w:r>
      <w:proofErr w:type="spellStart"/>
      <w:r w:rsidRPr="00FA4638">
        <w:rPr>
          <w:b/>
        </w:rPr>
        <w:t>subgeol</w:t>
      </w:r>
      <w:proofErr w:type="spellEnd"/>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4ED0915C" w:rsidR="00D03BFC" w:rsidRDefault="00D03BFC">
      <w:pPr>
        <w:pStyle w:val="NormalWeb"/>
      </w:pPr>
      <w:r>
        <w:t xml:space="preserve">2) </w:t>
      </w:r>
      <w:r w:rsidR="00F93ECD">
        <w:t xml:space="preserve">The sample points can be used to extract values at those locations from multiple grids </w:t>
      </w:r>
      <w:r w:rsidR="005E22CC">
        <w:t>(Spatial Analyst</w:t>
      </w:r>
      <w:r w:rsidR="00F93ECD">
        <w:t xml:space="preserve"> folder, Extraction -&gt; Extract Multi Values to Points</w:t>
      </w:r>
      <w:r>
        <w:t xml:space="preserve">) </w:t>
      </w:r>
      <w:r w:rsidR="00F93ECD">
        <w:t xml:space="preserve">The output will be added to the attribute table for your sample points. </w:t>
      </w:r>
      <w:r w:rsidR="00F93ECD" w:rsidRPr="00CE6F9C">
        <w:rPr>
          <w:i/>
          <w:u w:val="single"/>
        </w:rPr>
        <w:t>OR</w:t>
      </w:r>
      <w:r w:rsidR="00F93ECD">
        <w:t xml:space="preserve">, values already added to ex2_sample. You can open the tables and export the table </w:t>
      </w:r>
      <w:r>
        <w:t>to your work directory.</w:t>
      </w:r>
      <w:r w:rsidR="00F93ECD">
        <w:t xml:space="preserve"> </w:t>
      </w:r>
      <w:r w:rsidR="00F93ECD" w:rsidRPr="00F93ECD">
        <w:rPr>
          <w:i/>
        </w:rPr>
        <w:t>OR</w:t>
      </w:r>
      <w:r w:rsidR="00F93ECD">
        <w:t xml:space="preserve">, you can copy the exported table </w:t>
      </w:r>
      <w:r w:rsidR="00F93ECD" w:rsidRPr="00F93ECD">
        <w:t>R:\Winter2017\ESM215\data</w:t>
      </w:r>
      <w:r w:rsidR="00F93ECD">
        <w:t>\ex2_</w:t>
      </w:r>
      <w:r w:rsidR="00A50EDC">
        <w:t>sample_data.</w:t>
      </w:r>
      <w:r w:rsidR="00707DA1">
        <w:t>csv</w:t>
      </w:r>
      <w:r w:rsidR="00F93ECD">
        <w:t xml:space="preserve">. </w:t>
      </w:r>
    </w:p>
    <w:p w14:paraId="208364FC" w14:textId="6BBBD00F" w:rsidR="006E637E" w:rsidRDefault="00D03BFC">
      <w:pPr>
        <w:pStyle w:val="NormalWeb"/>
      </w:pPr>
      <w:r>
        <w:t xml:space="preserve">3) </w:t>
      </w:r>
      <w:r w:rsidR="00707DA1">
        <w:t xml:space="preserve">This exercise can be completed using Excel or R, but it is much faster in R. </w:t>
      </w:r>
      <w:r>
        <w:t xml:space="preserve">Import the </w:t>
      </w:r>
      <w:r w:rsidR="00707DA1">
        <w:t xml:space="preserve">data into R </w:t>
      </w:r>
      <w:r w:rsidR="00CE6F9C">
        <w:t xml:space="preserve">using the function </w:t>
      </w:r>
      <w:proofErr w:type="gramStart"/>
      <w:r w:rsidR="00707DA1">
        <w:t>read.csv(</w:t>
      </w:r>
      <w:proofErr w:type="gramEnd"/>
      <w:r w:rsidR="00707DA1">
        <w:t xml:space="preserve">).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proofErr w:type="gramStart"/>
      <w:r>
        <w:t>table</w:t>
      </w:r>
      <w:r w:rsidR="00D66D78">
        <w:t>(</w:t>
      </w:r>
      <w:proofErr w:type="gramEnd"/>
      <w:r w:rsidR="00D66D78">
        <w:t xml:space="preserve">) to </w:t>
      </w:r>
      <w:r>
        <w:t>cross</w:t>
      </w:r>
      <w:r w:rsidR="00D66D78">
        <w:t xml:space="preserve">-tabulate </w:t>
      </w:r>
      <w:r>
        <w:t xml:space="preserve">vegetation and other categorical variables for mutual information analysis. </w:t>
      </w:r>
      <w:r w:rsidR="00D66D78">
        <w:t xml:space="preserve">Use </w:t>
      </w:r>
      <w:proofErr w:type="gramStart"/>
      <w:r w:rsidR="00D66D78" w:rsidRPr="00D66D78">
        <w:t>mi.empirical</w:t>
      </w:r>
      <w:proofErr w:type="gramEnd"/>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8E1EBB"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proofErr w:type="gramStart"/>
      <w:r w:rsidR="00F420F5" w:rsidRPr="00F420F5">
        <w:rPr>
          <w:i/>
        </w:rPr>
        <w:t>x,y</w:t>
      </w:r>
      <w:proofErr w:type="spellEnd"/>
      <w:proofErr w:type="gram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 xml:space="preserve">between two mapped categorical </w:t>
      </w:r>
      <w:proofErr w:type="gramStart"/>
      <w:r w:rsidR="00F420F5">
        <w:t>variable</w:t>
      </w:r>
      <w:proofErr w:type="gramEnd"/>
      <w:r w:rsidR="00F420F5">
        <w:t xml:space="preserv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w:lastRenderedPageBreak/>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2D0B3207" w:rsidR="000174B5" w:rsidRDefault="00D03BFC">
      <w:pPr>
        <w:pStyle w:val="NormalWeb"/>
      </w:pPr>
      <w:r>
        <w:t>4)</w:t>
      </w:r>
      <w:r w:rsidR="000174B5">
        <w:t xml:space="preserve"> Report your work by answering the following”</w:t>
      </w:r>
    </w:p>
    <w:p w14:paraId="552F800C" w14:textId="77777777" w:rsidR="000174B5" w:rsidRPr="00E73FF3" w:rsidRDefault="00D03BFC" w:rsidP="000174B5">
      <w:pPr>
        <w:pStyle w:val="NormalWeb"/>
        <w:numPr>
          <w:ilvl w:val="0"/>
          <w:numId w:val="11"/>
        </w:numPr>
        <w:rPr>
          <w:b/>
        </w:rPr>
      </w:pPr>
      <w:r w:rsidRPr="00E73FF3">
        <w:rPr>
          <w:b/>
        </w:rPr>
        <w:t>Summarize your results using a tree diagram like that in the papers.</w:t>
      </w:r>
    </w:p>
    <w:p w14:paraId="5AC69A95" w14:textId="22E78B1F" w:rsidR="000174B5" w:rsidRDefault="00D03BFC" w:rsidP="000174B5">
      <w:pPr>
        <w:pStyle w:val="NormalWeb"/>
        <w:numPr>
          <w:ilvl w:val="0"/>
          <w:numId w:val="11"/>
        </w:numPr>
        <w:rPr>
          <w:b/>
        </w:rPr>
      </w:pPr>
      <w:r w:rsidRPr="00E73FF3">
        <w:rPr>
          <w:b/>
        </w:rPr>
        <w:t xml:space="preserve">Discuss your results. How strong is the relationship between </w:t>
      </w:r>
      <w:r w:rsidR="00511509" w:rsidRPr="00E73FF3">
        <w:rPr>
          <w:b/>
        </w:rPr>
        <w:t>land cover</w:t>
      </w:r>
      <w:r w:rsidRPr="00E73FF3">
        <w:rPr>
          <w:b/>
        </w:rPr>
        <w:t xml:space="preserve"> and physical environmental variables?</w:t>
      </w:r>
    </w:p>
    <w:p w14:paraId="27D0D737" w14:textId="43DA1A9A" w:rsidR="00E73FF3" w:rsidRPr="00E73FF3" w:rsidRDefault="00CF0067" w:rsidP="00E73FF3">
      <w:pPr>
        <w:pStyle w:val="NormalWeb"/>
        <w:ind w:left="720"/>
      </w:pPr>
      <w:r>
        <w:t>Of the three environmental variables we are looking at (geology, radiation, and flow accumulation), geology is the most strongly associated with the vegetation in the study area.</w:t>
      </w:r>
      <w:bookmarkStart w:id="0" w:name="_GoBack"/>
      <w:bookmarkEnd w:id="0"/>
    </w:p>
    <w:p w14:paraId="5AD23D75" w14:textId="77777777" w:rsidR="000174B5" w:rsidRPr="00E73FF3" w:rsidRDefault="00D03BFC" w:rsidP="000174B5">
      <w:pPr>
        <w:pStyle w:val="NormalWeb"/>
        <w:numPr>
          <w:ilvl w:val="0"/>
          <w:numId w:val="11"/>
        </w:numPr>
        <w:rPr>
          <w:b/>
        </w:rPr>
      </w:pPr>
      <w:r w:rsidRPr="00E73FF3">
        <w:rPr>
          <w:b/>
        </w:rPr>
        <w:t>Compare your findings to those of Davis and Dozier</w:t>
      </w:r>
      <w:r w:rsidR="00511509" w:rsidRPr="00E73FF3">
        <w:rPr>
          <w:b/>
        </w:rPr>
        <w:t xml:space="preserve"> (1990)</w:t>
      </w:r>
      <w:r w:rsidRPr="00E73FF3">
        <w:rPr>
          <w:b/>
        </w:rPr>
        <w:t>.</w:t>
      </w:r>
    </w:p>
    <w:p w14:paraId="3BAB020A" w14:textId="4BBA7D6A" w:rsidR="00D03BFC" w:rsidRPr="00E73FF3" w:rsidRDefault="000174B5" w:rsidP="000174B5">
      <w:pPr>
        <w:pStyle w:val="NormalWeb"/>
        <w:numPr>
          <w:ilvl w:val="0"/>
          <w:numId w:val="11"/>
        </w:numPr>
        <w:rPr>
          <w:b/>
        </w:rPr>
      </w:pPr>
      <w:r w:rsidRPr="00E73FF3">
        <w:rPr>
          <w:b/>
        </w:rPr>
        <w:t>Summarize the</w:t>
      </w:r>
      <w:r w:rsidR="00D03BFC" w:rsidRPr="00E73FF3">
        <w:rPr>
          <w:b/>
        </w:rPr>
        <w:t xml:space="preserve"> strengths and weaknesses</w:t>
      </w:r>
      <w:r w:rsidR="00511509" w:rsidRPr="00E73FF3">
        <w:rPr>
          <w:b/>
        </w:rPr>
        <w:t xml:space="preserve"> of </w:t>
      </w:r>
      <w:r w:rsidRPr="00E73FF3">
        <w:rPr>
          <w:b/>
        </w:rPr>
        <w:t>Mutual Information Analysis</w:t>
      </w:r>
      <w:r w:rsidR="00511509" w:rsidRPr="00E73FF3">
        <w:rPr>
          <w:b/>
        </w:rPr>
        <w:t xml:space="preserve"> </w:t>
      </w:r>
      <w:r w:rsidR="00D03BFC" w:rsidRPr="00E73FF3">
        <w:rPr>
          <w:b/>
        </w:rPr>
        <w:t xml:space="preserve">for establishing </w:t>
      </w:r>
      <w:r w:rsidR="00311F21" w:rsidRPr="00E73FF3">
        <w:rPr>
          <w:b/>
        </w:rPr>
        <w:t>la</w:t>
      </w:r>
      <w:r w:rsidRPr="00E73FF3">
        <w:rPr>
          <w:b/>
        </w:rPr>
        <w:t>n</w:t>
      </w:r>
      <w:r w:rsidR="00311F21" w:rsidRPr="00E73FF3">
        <w:rPr>
          <w:b/>
        </w:rPr>
        <w:t>d cover</w:t>
      </w:r>
      <w:r w:rsidR="00511509" w:rsidRPr="00E73FF3">
        <w:rPr>
          <w:b/>
        </w:rPr>
        <w:t>-environment associations?</w:t>
      </w:r>
      <w:r w:rsidRPr="00E73FF3">
        <w:rPr>
          <w:b/>
        </w:rPr>
        <w:t xml:space="preserve"> What alternatives would you consider?</w:t>
      </w: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FA"/>
    <w:rsid w:val="000174B5"/>
    <w:rsid w:val="000939A4"/>
    <w:rsid w:val="00093A54"/>
    <w:rsid w:val="000E1156"/>
    <w:rsid w:val="001848CA"/>
    <w:rsid w:val="00227E48"/>
    <w:rsid w:val="002431B3"/>
    <w:rsid w:val="0026633E"/>
    <w:rsid w:val="00311F21"/>
    <w:rsid w:val="0039268B"/>
    <w:rsid w:val="003B7380"/>
    <w:rsid w:val="00422977"/>
    <w:rsid w:val="004233B1"/>
    <w:rsid w:val="00511509"/>
    <w:rsid w:val="00543D62"/>
    <w:rsid w:val="005E22CC"/>
    <w:rsid w:val="00673D1E"/>
    <w:rsid w:val="006A4A01"/>
    <w:rsid w:val="006C7290"/>
    <w:rsid w:val="006E637E"/>
    <w:rsid w:val="00707DA1"/>
    <w:rsid w:val="00763030"/>
    <w:rsid w:val="008155C1"/>
    <w:rsid w:val="0086516E"/>
    <w:rsid w:val="008923DA"/>
    <w:rsid w:val="008E0E2C"/>
    <w:rsid w:val="008E1EBB"/>
    <w:rsid w:val="0098196F"/>
    <w:rsid w:val="009B36F5"/>
    <w:rsid w:val="009D30A8"/>
    <w:rsid w:val="00A50EDC"/>
    <w:rsid w:val="00AE1CFF"/>
    <w:rsid w:val="00B31283"/>
    <w:rsid w:val="00B81166"/>
    <w:rsid w:val="00C74F21"/>
    <w:rsid w:val="00CE6F9C"/>
    <w:rsid w:val="00CF0067"/>
    <w:rsid w:val="00CF57E3"/>
    <w:rsid w:val="00D03BFC"/>
    <w:rsid w:val="00D119FA"/>
    <w:rsid w:val="00D66D78"/>
    <w:rsid w:val="00E47930"/>
    <w:rsid w:val="00E73FF3"/>
    <w:rsid w:val="00F420F5"/>
    <w:rsid w:val="00F46251"/>
    <w:rsid w:val="00F76850"/>
    <w:rsid w:val="00F93ECD"/>
    <w:rsid w:val="00FA46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ocalhost/,%20https/::www.nrcs.usda.gov:wps:portal:nrcs:detail:soils:survey:%3Fcid=nrcs142p2_053627" TargetMode="Externa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fontTable" Target="fontTable.xml"/><Relationship Id="rId5" Type="http://schemas.openxmlformats.org/officeDocument/2006/relationships/hyperlink" Target="file:///Volumes/courses/Winter2010/ESM%20215/data/datavu.mxd" TargetMode="External"/><Relationship Id="rId10" Type="http://schemas.openxmlformats.org/officeDocument/2006/relationships/hyperlink" Target="http://frap.fire.ca.gov/data/statewide/FGDC_metadata/fveg15_1.xml" TargetMode="External"/><Relationship Id="rId4" Type="http://schemas.openxmlformats.org/officeDocument/2006/relationships/webSettings" Target="webSettings.xml"/><Relationship Id="rId9" Type="http://schemas.openxmlformats.org/officeDocument/2006/relationships/hyperlink" Target="http://frap.fire.ca.gov/data/frapgisdata-sw-fireperimeters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Brad Anderson</cp:lastModifiedBy>
  <cp:revision>4</cp:revision>
  <dcterms:created xsi:type="dcterms:W3CDTF">2018-12-18T02:05:00Z</dcterms:created>
  <dcterms:modified xsi:type="dcterms:W3CDTF">2019-01-18T03:08:00Z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