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96D80" w14:textId="77777777" w:rsidR="00CF72CD" w:rsidRPr="00CF72CD" w:rsidRDefault="00CF72CD" w:rsidP="00831074">
      <w:pPr>
        <w:snapToGrid w:val="0"/>
        <w:spacing w:after="0" w:line="240" w:lineRule="auto"/>
      </w:pPr>
      <w:r w:rsidRPr="00CF72CD">
        <w:rPr>
          <w:b/>
          <w:bCs/>
        </w:rPr>
        <w:t xml:space="preserve">Date: </w:t>
      </w:r>
      <w:r w:rsidRPr="00CF72CD">
        <w:t>February 26, 2018</w:t>
      </w:r>
    </w:p>
    <w:p w14:paraId="22DAC708" w14:textId="71E7734C" w:rsidR="00CF72CD" w:rsidRPr="00CF72CD" w:rsidRDefault="00CF72CD" w:rsidP="00831074">
      <w:pPr>
        <w:snapToGrid w:val="0"/>
        <w:spacing w:after="0" w:line="240" w:lineRule="auto"/>
      </w:pPr>
      <w:r w:rsidRPr="00CF72CD">
        <w:rPr>
          <w:b/>
          <w:bCs/>
        </w:rPr>
        <w:t xml:space="preserve">To: </w:t>
      </w:r>
      <w:r w:rsidRPr="00CF72CD">
        <w:t>Shawn Janzen, Senior Data Analyst</w:t>
      </w:r>
    </w:p>
    <w:p w14:paraId="3E123760" w14:textId="1ED1CE63" w:rsidR="00CF72CD" w:rsidRPr="00CF72CD" w:rsidRDefault="00CF72CD" w:rsidP="00831074">
      <w:pPr>
        <w:snapToGrid w:val="0"/>
        <w:spacing w:after="0" w:line="240" w:lineRule="auto"/>
      </w:pPr>
      <w:r w:rsidRPr="00CF72CD">
        <w:rPr>
          <w:b/>
          <w:bCs/>
        </w:rPr>
        <w:t xml:space="preserve">From: </w:t>
      </w:r>
      <w:r w:rsidRPr="00CF72CD">
        <w:t>Andrew Carroll</w:t>
      </w:r>
    </w:p>
    <w:p w14:paraId="5BE343ED" w14:textId="77777777" w:rsidR="00831074" w:rsidRPr="00CF72CD" w:rsidRDefault="00CF72CD" w:rsidP="00831074">
      <w:pPr>
        <w:snapToGrid w:val="0"/>
        <w:spacing w:after="0" w:line="360" w:lineRule="auto"/>
      </w:pPr>
      <w:r w:rsidRPr="00CF72CD">
        <w:rPr>
          <w:b/>
          <w:bCs/>
        </w:rPr>
        <w:t xml:space="preserve">RE: </w:t>
      </w:r>
      <w:r w:rsidRPr="00CF72CD">
        <w:t>The connection between drug related arrests and time of day</w:t>
      </w:r>
    </w:p>
    <w:p w14:paraId="38B1C413" w14:textId="77777777" w:rsidR="00CF72CD" w:rsidRPr="00CF72CD" w:rsidRDefault="00CF72CD" w:rsidP="00831074">
      <w:pPr>
        <w:snapToGrid w:val="0"/>
        <w:spacing w:line="360" w:lineRule="auto"/>
        <w:ind w:firstLine="720"/>
      </w:pPr>
      <w:r w:rsidRPr="00CF72CD">
        <w:t>In 2018, the Federal Bureau of Investigation’s Uniform Crime Reporting released a report stating that a little over 1.6 million drug related arrests had taken place in the United States in 2017</w:t>
      </w:r>
      <w:r w:rsidR="00831074">
        <w:rPr>
          <w:rStyle w:val="FootnoteReference"/>
        </w:rPr>
        <w:footnoteReference w:id="1"/>
      </w:r>
      <w:r>
        <w:t xml:space="preserve">. </w:t>
      </w:r>
      <w:r w:rsidRPr="00CF72CD">
        <w:t>1.8% of those arrests, estimated at 28,992, were in Maryland alone</w:t>
      </w:r>
      <w:r w:rsidR="00831074">
        <w:rPr>
          <w:rStyle w:val="FootnoteReference"/>
        </w:rPr>
        <w:footnoteReference w:id="2"/>
      </w:r>
      <w:r>
        <w:t>.</w:t>
      </w:r>
      <w:r w:rsidRPr="00CF72CD">
        <w:t xml:space="preserve"> There is no doubt that that the number of drug arrests made in Maryland is very large and it sure has its impacts on Maryland cities and their citizens. </w:t>
      </w:r>
    </w:p>
    <w:p w14:paraId="16BBD2BD" w14:textId="77777777" w:rsidR="00CF72CD" w:rsidRPr="00CF72CD" w:rsidRDefault="00CF72CD" w:rsidP="00831074">
      <w:pPr>
        <w:snapToGrid w:val="0"/>
        <w:spacing w:line="360" w:lineRule="auto"/>
        <w:ind w:firstLine="720"/>
      </w:pPr>
      <w:r w:rsidRPr="00CF72CD">
        <w:t>One area of impact that is often overlooked is the correlation between drug arrests and the time of day as well as the effects of that correlation on the community. As evidence</w:t>
      </w:r>
      <w:r>
        <w:t>d</w:t>
      </w:r>
      <w:r w:rsidRPr="00CF72CD">
        <w:t xml:space="preserve"> by our daily lives, the busiest time of the day is when schools let out, the </w:t>
      </w:r>
      <w:proofErr w:type="gramStart"/>
      <w:r w:rsidRPr="00CF72CD">
        <w:t>work day</w:t>
      </w:r>
      <w:proofErr w:type="gramEnd"/>
      <w:r w:rsidRPr="00CF72CD">
        <w:t xml:space="preserve"> ends, and rush hour starts. That is being the afternoon. We hypothesize that the majority of drug arrests occur during the afternoon. This memo will show that there is indeed such relationship among those in Baltimore </w:t>
      </w:r>
      <w:r w:rsidR="00A54009">
        <w:t>City</w:t>
      </w:r>
      <w:r w:rsidRPr="00CF72CD">
        <w:t xml:space="preserve">, Maryland. </w:t>
      </w:r>
    </w:p>
    <w:tbl>
      <w:tblPr>
        <w:tblStyle w:val="TableGrid"/>
        <w:tblpPr w:leftFromText="180" w:rightFromText="180" w:vertAnchor="text" w:horzAnchor="margin" w:tblpXSpec="right" w:tblpY="163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186"/>
        <w:gridCol w:w="1294"/>
      </w:tblGrid>
      <w:tr w:rsidR="00875994" w14:paraId="43088D3F" w14:textId="77777777" w:rsidTr="00875994">
        <w:trPr>
          <w:trHeight w:val="260"/>
        </w:trPr>
        <w:tc>
          <w:tcPr>
            <w:tcW w:w="4194" w:type="dxa"/>
            <w:gridSpan w:val="3"/>
            <w:tcBorders>
              <w:bottom w:val="double" w:sz="4" w:space="0" w:color="auto"/>
            </w:tcBorders>
          </w:tcPr>
          <w:p w14:paraId="3E905B3A" w14:textId="77777777" w:rsidR="00875994" w:rsidRPr="006246CF" w:rsidRDefault="00875994" w:rsidP="00C81C94">
            <w:pPr>
              <w:snapToGrid w:val="0"/>
              <w:jc w:val="center"/>
              <w:rPr>
                <w:rFonts w:cstheme="minorHAnsi"/>
                <w:b/>
              </w:rPr>
            </w:pPr>
            <w:r w:rsidRPr="006246CF">
              <w:rPr>
                <w:rFonts w:cstheme="minorHAnsi"/>
                <w:b/>
              </w:rPr>
              <w:t xml:space="preserve">Table 1: </w:t>
            </w:r>
            <w:r>
              <w:rPr>
                <w:rFonts w:cstheme="minorHAnsi"/>
                <w:b/>
              </w:rPr>
              <w:t>Variable Summary</w:t>
            </w:r>
          </w:p>
        </w:tc>
      </w:tr>
      <w:tr w:rsidR="00875994" w14:paraId="79B8878F" w14:textId="77777777" w:rsidTr="00875994">
        <w:trPr>
          <w:trHeight w:val="260"/>
        </w:trPr>
        <w:tc>
          <w:tcPr>
            <w:tcW w:w="1714" w:type="dxa"/>
            <w:tcBorders>
              <w:top w:val="double" w:sz="4" w:space="0" w:color="auto"/>
              <w:bottom w:val="single" w:sz="4" w:space="0" w:color="auto"/>
            </w:tcBorders>
          </w:tcPr>
          <w:p w14:paraId="3A1F872C" w14:textId="77777777" w:rsidR="00875994" w:rsidRPr="00DE6F2C" w:rsidRDefault="00875994" w:rsidP="00C81C94">
            <w:pPr>
              <w:snapToGrid w:val="0"/>
              <w:rPr>
                <w:rFonts w:cstheme="minorHAnsi"/>
                <w:b/>
              </w:rPr>
            </w:pPr>
            <w:r>
              <w:rPr>
                <w:rFonts w:cstheme="minorHAnsi"/>
                <w:b/>
              </w:rPr>
              <w:t>Offense Type</w:t>
            </w:r>
          </w:p>
        </w:tc>
        <w:tc>
          <w:tcPr>
            <w:tcW w:w="1186" w:type="dxa"/>
            <w:tcBorders>
              <w:top w:val="double" w:sz="4" w:space="0" w:color="auto"/>
              <w:bottom w:val="single" w:sz="4" w:space="0" w:color="auto"/>
            </w:tcBorders>
          </w:tcPr>
          <w:p w14:paraId="6691824B" w14:textId="77777777" w:rsidR="00875994" w:rsidRDefault="00875994" w:rsidP="00C81C94">
            <w:pPr>
              <w:snapToGrid w:val="0"/>
              <w:jc w:val="center"/>
              <w:rPr>
                <w:rFonts w:cstheme="minorHAnsi"/>
              </w:rPr>
            </w:pPr>
            <w:r>
              <w:rPr>
                <w:rFonts w:cstheme="minorHAnsi"/>
              </w:rPr>
              <w:t>Freq.</w:t>
            </w:r>
          </w:p>
        </w:tc>
        <w:tc>
          <w:tcPr>
            <w:tcW w:w="1294" w:type="dxa"/>
            <w:tcBorders>
              <w:top w:val="double" w:sz="4" w:space="0" w:color="auto"/>
              <w:bottom w:val="single" w:sz="4" w:space="0" w:color="auto"/>
            </w:tcBorders>
          </w:tcPr>
          <w:p w14:paraId="774052E1" w14:textId="77777777" w:rsidR="00875994" w:rsidRDefault="00875994" w:rsidP="00C81C94">
            <w:pPr>
              <w:snapToGrid w:val="0"/>
              <w:jc w:val="center"/>
              <w:rPr>
                <w:rFonts w:cstheme="minorHAnsi"/>
              </w:rPr>
            </w:pPr>
            <w:r>
              <w:rPr>
                <w:rFonts w:cstheme="minorHAnsi"/>
              </w:rPr>
              <w:t>Percent</w:t>
            </w:r>
          </w:p>
        </w:tc>
      </w:tr>
      <w:tr w:rsidR="00875994" w14:paraId="70DC7E6C" w14:textId="77777777" w:rsidTr="00875994">
        <w:trPr>
          <w:trHeight w:val="260"/>
        </w:trPr>
        <w:tc>
          <w:tcPr>
            <w:tcW w:w="1714" w:type="dxa"/>
            <w:tcBorders>
              <w:top w:val="single" w:sz="4" w:space="0" w:color="auto"/>
            </w:tcBorders>
          </w:tcPr>
          <w:p w14:paraId="373562AD" w14:textId="77777777" w:rsidR="00875994" w:rsidRDefault="00875994" w:rsidP="00C81C94">
            <w:pPr>
              <w:snapToGrid w:val="0"/>
              <w:rPr>
                <w:rFonts w:cstheme="minorHAnsi"/>
              </w:rPr>
            </w:pPr>
            <w:r>
              <w:rPr>
                <w:rFonts w:cstheme="minorHAnsi"/>
              </w:rPr>
              <w:t>Narcotics</w:t>
            </w:r>
          </w:p>
        </w:tc>
        <w:tc>
          <w:tcPr>
            <w:tcW w:w="1186" w:type="dxa"/>
            <w:tcBorders>
              <w:top w:val="single" w:sz="4" w:space="0" w:color="auto"/>
            </w:tcBorders>
          </w:tcPr>
          <w:p w14:paraId="161745B7" w14:textId="77777777" w:rsidR="00875994" w:rsidRDefault="00875994" w:rsidP="00C81C94">
            <w:pPr>
              <w:snapToGrid w:val="0"/>
              <w:jc w:val="center"/>
              <w:rPr>
                <w:rFonts w:cstheme="minorHAnsi"/>
              </w:rPr>
            </w:pPr>
            <w:r>
              <w:rPr>
                <w:rFonts w:cstheme="minorHAnsi"/>
              </w:rPr>
              <w:t>1623</w:t>
            </w:r>
          </w:p>
        </w:tc>
        <w:tc>
          <w:tcPr>
            <w:tcW w:w="1294" w:type="dxa"/>
            <w:tcBorders>
              <w:top w:val="single" w:sz="4" w:space="0" w:color="auto"/>
            </w:tcBorders>
          </w:tcPr>
          <w:p w14:paraId="15DA402B" w14:textId="77777777" w:rsidR="00875994" w:rsidRDefault="00875994" w:rsidP="00C81C94">
            <w:pPr>
              <w:snapToGrid w:val="0"/>
              <w:jc w:val="center"/>
              <w:rPr>
                <w:rFonts w:cstheme="minorHAnsi"/>
              </w:rPr>
            </w:pPr>
            <w:r>
              <w:rPr>
                <w:rFonts w:cstheme="minorHAnsi"/>
              </w:rPr>
              <w:t>5.5%</w:t>
            </w:r>
          </w:p>
        </w:tc>
      </w:tr>
      <w:tr w:rsidR="00875994" w14:paraId="38EC41D4" w14:textId="77777777" w:rsidTr="00875994">
        <w:trPr>
          <w:trHeight w:val="260"/>
        </w:trPr>
        <w:tc>
          <w:tcPr>
            <w:tcW w:w="1714" w:type="dxa"/>
            <w:tcBorders>
              <w:bottom w:val="single" w:sz="4" w:space="0" w:color="auto"/>
            </w:tcBorders>
          </w:tcPr>
          <w:p w14:paraId="55EAD60A" w14:textId="77777777" w:rsidR="00875994" w:rsidRDefault="00875994" w:rsidP="00C81C94">
            <w:pPr>
              <w:snapToGrid w:val="0"/>
              <w:rPr>
                <w:rFonts w:cstheme="minorHAnsi"/>
              </w:rPr>
            </w:pPr>
            <w:r>
              <w:rPr>
                <w:rFonts w:cstheme="minorHAnsi"/>
              </w:rPr>
              <w:t>Other</w:t>
            </w:r>
          </w:p>
        </w:tc>
        <w:tc>
          <w:tcPr>
            <w:tcW w:w="1186" w:type="dxa"/>
            <w:tcBorders>
              <w:bottom w:val="single" w:sz="4" w:space="0" w:color="auto"/>
            </w:tcBorders>
          </w:tcPr>
          <w:p w14:paraId="2D22318C" w14:textId="77777777" w:rsidR="00875994" w:rsidRDefault="00875994" w:rsidP="00C81C94">
            <w:pPr>
              <w:snapToGrid w:val="0"/>
              <w:jc w:val="center"/>
              <w:rPr>
                <w:rFonts w:cstheme="minorHAnsi"/>
              </w:rPr>
            </w:pPr>
            <w:r>
              <w:rPr>
                <w:rFonts w:cstheme="minorHAnsi"/>
              </w:rPr>
              <w:t>27,753</w:t>
            </w:r>
          </w:p>
        </w:tc>
        <w:tc>
          <w:tcPr>
            <w:tcW w:w="1294" w:type="dxa"/>
            <w:tcBorders>
              <w:bottom w:val="single" w:sz="4" w:space="0" w:color="auto"/>
            </w:tcBorders>
          </w:tcPr>
          <w:p w14:paraId="13D3A1A0" w14:textId="77777777" w:rsidR="00875994" w:rsidRDefault="00875994" w:rsidP="00C81C94">
            <w:pPr>
              <w:snapToGrid w:val="0"/>
              <w:jc w:val="center"/>
              <w:rPr>
                <w:rFonts w:cstheme="minorHAnsi"/>
              </w:rPr>
            </w:pPr>
            <w:r>
              <w:rPr>
                <w:rFonts w:cstheme="minorHAnsi"/>
              </w:rPr>
              <w:t>94.5%</w:t>
            </w:r>
          </w:p>
        </w:tc>
      </w:tr>
      <w:tr w:rsidR="00875994" w14:paraId="354BD8D0" w14:textId="77777777" w:rsidTr="00875994">
        <w:trPr>
          <w:trHeight w:val="260"/>
        </w:trPr>
        <w:tc>
          <w:tcPr>
            <w:tcW w:w="1714" w:type="dxa"/>
            <w:tcBorders>
              <w:top w:val="single" w:sz="4" w:space="0" w:color="auto"/>
              <w:bottom w:val="single" w:sz="4" w:space="0" w:color="auto"/>
            </w:tcBorders>
          </w:tcPr>
          <w:p w14:paraId="5AA63F86" w14:textId="77777777" w:rsidR="00875994" w:rsidRDefault="00875994" w:rsidP="00C81C94">
            <w:pPr>
              <w:snapToGrid w:val="0"/>
              <w:rPr>
                <w:rFonts w:cstheme="minorHAnsi"/>
              </w:rPr>
            </w:pPr>
            <w:r>
              <w:rPr>
                <w:rFonts w:cstheme="minorHAnsi"/>
              </w:rPr>
              <w:t>Total</w:t>
            </w:r>
          </w:p>
        </w:tc>
        <w:tc>
          <w:tcPr>
            <w:tcW w:w="1186" w:type="dxa"/>
            <w:tcBorders>
              <w:top w:val="single" w:sz="4" w:space="0" w:color="auto"/>
              <w:bottom w:val="single" w:sz="4" w:space="0" w:color="auto"/>
            </w:tcBorders>
          </w:tcPr>
          <w:p w14:paraId="36DFEBE5" w14:textId="77777777" w:rsidR="00875994" w:rsidRDefault="00875994" w:rsidP="00C81C94">
            <w:pPr>
              <w:snapToGrid w:val="0"/>
              <w:jc w:val="center"/>
              <w:rPr>
                <w:rFonts w:cstheme="minorHAnsi"/>
              </w:rPr>
            </w:pPr>
            <w:r>
              <w:rPr>
                <w:rFonts w:cstheme="minorHAnsi"/>
              </w:rPr>
              <w:t>29,376</w:t>
            </w:r>
          </w:p>
        </w:tc>
        <w:tc>
          <w:tcPr>
            <w:tcW w:w="1294" w:type="dxa"/>
            <w:tcBorders>
              <w:top w:val="single" w:sz="4" w:space="0" w:color="auto"/>
              <w:bottom w:val="single" w:sz="4" w:space="0" w:color="auto"/>
            </w:tcBorders>
          </w:tcPr>
          <w:p w14:paraId="47697F77" w14:textId="77777777" w:rsidR="00875994" w:rsidRDefault="00875994" w:rsidP="00C81C94">
            <w:pPr>
              <w:snapToGrid w:val="0"/>
              <w:jc w:val="center"/>
              <w:rPr>
                <w:rFonts w:cstheme="minorHAnsi"/>
              </w:rPr>
            </w:pPr>
            <w:r>
              <w:rPr>
                <w:rFonts w:cstheme="minorHAnsi"/>
              </w:rPr>
              <w:t>100%</w:t>
            </w:r>
          </w:p>
        </w:tc>
      </w:tr>
      <w:tr w:rsidR="00875994" w14:paraId="42709833" w14:textId="77777777" w:rsidTr="00875994">
        <w:trPr>
          <w:trHeight w:val="260"/>
        </w:trPr>
        <w:tc>
          <w:tcPr>
            <w:tcW w:w="2900" w:type="dxa"/>
            <w:gridSpan w:val="2"/>
            <w:tcBorders>
              <w:top w:val="single" w:sz="4" w:space="0" w:color="auto"/>
              <w:bottom w:val="single" w:sz="4" w:space="0" w:color="auto"/>
            </w:tcBorders>
          </w:tcPr>
          <w:p w14:paraId="39C98293" w14:textId="77777777" w:rsidR="00875994" w:rsidRPr="00DE6F2C" w:rsidRDefault="00875994" w:rsidP="00C81C94">
            <w:pPr>
              <w:snapToGrid w:val="0"/>
              <w:rPr>
                <w:rFonts w:cstheme="minorHAnsi"/>
                <w:b/>
              </w:rPr>
            </w:pPr>
            <w:r>
              <w:rPr>
                <w:rFonts w:cstheme="minorHAnsi"/>
                <w:b/>
              </w:rPr>
              <w:t>Arrest Time</w:t>
            </w:r>
          </w:p>
        </w:tc>
        <w:tc>
          <w:tcPr>
            <w:tcW w:w="1294" w:type="dxa"/>
            <w:tcBorders>
              <w:top w:val="single" w:sz="4" w:space="0" w:color="auto"/>
              <w:bottom w:val="single" w:sz="4" w:space="0" w:color="auto"/>
            </w:tcBorders>
          </w:tcPr>
          <w:p w14:paraId="02A3012C" w14:textId="77777777" w:rsidR="00875994" w:rsidRDefault="00875994" w:rsidP="00C81C94">
            <w:pPr>
              <w:snapToGrid w:val="0"/>
              <w:jc w:val="center"/>
              <w:rPr>
                <w:rFonts w:cstheme="minorHAnsi"/>
              </w:rPr>
            </w:pPr>
          </w:p>
        </w:tc>
      </w:tr>
      <w:tr w:rsidR="00875994" w14:paraId="2BF29E44" w14:textId="77777777" w:rsidTr="00875994">
        <w:trPr>
          <w:trHeight w:val="260"/>
        </w:trPr>
        <w:tc>
          <w:tcPr>
            <w:tcW w:w="1714" w:type="dxa"/>
            <w:tcBorders>
              <w:top w:val="single" w:sz="4" w:space="0" w:color="auto"/>
            </w:tcBorders>
          </w:tcPr>
          <w:p w14:paraId="748BC49A" w14:textId="77777777" w:rsidR="00875994" w:rsidRDefault="00875994" w:rsidP="00C81C94">
            <w:pPr>
              <w:snapToGrid w:val="0"/>
              <w:rPr>
                <w:rFonts w:cstheme="minorHAnsi"/>
              </w:rPr>
            </w:pPr>
            <w:r>
              <w:rPr>
                <w:rFonts w:cstheme="minorHAnsi"/>
              </w:rPr>
              <w:t>Early Morning</w:t>
            </w:r>
          </w:p>
        </w:tc>
        <w:tc>
          <w:tcPr>
            <w:tcW w:w="1186" w:type="dxa"/>
            <w:tcBorders>
              <w:top w:val="single" w:sz="4" w:space="0" w:color="auto"/>
            </w:tcBorders>
          </w:tcPr>
          <w:p w14:paraId="31024441" w14:textId="77777777" w:rsidR="00875994" w:rsidRDefault="00875994" w:rsidP="00C81C94">
            <w:pPr>
              <w:snapToGrid w:val="0"/>
              <w:jc w:val="center"/>
              <w:rPr>
                <w:rFonts w:cstheme="minorHAnsi"/>
              </w:rPr>
            </w:pPr>
            <w:r>
              <w:rPr>
                <w:rFonts w:cstheme="minorHAnsi"/>
              </w:rPr>
              <w:t>43</w:t>
            </w:r>
          </w:p>
        </w:tc>
        <w:tc>
          <w:tcPr>
            <w:tcW w:w="1294" w:type="dxa"/>
            <w:tcBorders>
              <w:top w:val="single" w:sz="4" w:space="0" w:color="auto"/>
            </w:tcBorders>
          </w:tcPr>
          <w:p w14:paraId="3F013247" w14:textId="77777777" w:rsidR="00875994" w:rsidRDefault="00875994" w:rsidP="00C81C94">
            <w:pPr>
              <w:snapToGrid w:val="0"/>
              <w:jc w:val="center"/>
              <w:rPr>
                <w:rFonts w:cstheme="minorHAnsi"/>
              </w:rPr>
            </w:pPr>
            <w:r>
              <w:rPr>
                <w:rFonts w:cstheme="minorHAnsi"/>
              </w:rPr>
              <w:t>2.6%</w:t>
            </w:r>
          </w:p>
        </w:tc>
      </w:tr>
      <w:tr w:rsidR="00875994" w14:paraId="5B982ED4" w14:textId="77777777" w:rsidTr="00875994">
        <w:trPr>
          <w:trHeight w:val="273"/>
        </w:trPr>
        <w:tc>
          <w:tcPr>
            <w:tcW w:w="1714" w:type="dxa"/>
          </w:tcPr>
          <w:p w14:paraId="15AE73B1" w14:textId="77777777" w:rsidR="00875994" w:rsidRDefault="00875994" w:rsidP="00C81C94">
            <w:pPr>
              <w:snapToGrid w:val="0"/>
              <w:rPr>
                <w:rFonts w:cstheme="minorHAnsi"/>
              </w:rPr>
            </w:pPr>
            <w:r>
              <w:rPr>
                <w:rFonts w:cstheme="minorHAnsi"/>
              </w:rPr>
              <w:t>Morning</w:t>
            </w:r>
          </w:p>
        </w:tc>
        <w:tc>
          <w:tcPr>
            <w:tcW w:w="1186" w:type="dxa"/>
          </w:tcPr>
          <w:p w14:paraId="609910BC" w14:textId="77777777" w:rsidR="00875994" w:rsidRDefault="00875994" w:rsidP="00C81C94">
            <w:pPr>
              <w:snapToGrid w:val="0"/>
              <w:jc w:val="center"/>
              <w:rPr>
                <w:rFonts w:cstheme="minorHAnsi"/>
              </w:rPr>
            </w:pPr>
            <w:r>
              <w:rPr>
                <w:rFonts w:cstheme="minorHAnsi"/>
              </w:rPr>
              <w:t>332</w:t>
            </w:r>
          </w:p>
        </w:tc>
        <w:tc>
          <w:tcPr>
            <w:tcW w:w="1294" w:type="dxa"/>
          </w:tcPr>
          <w:p w14:paraId="6B23E86B" w14:textId="77777777" w:rsidR="00875994" w:rsidRDefault="00875994" w:rsidP="00C81C94">
            <w:pPr>
              <w:snapToGrid w:val="0"/>
              <w:jc w:val="center"/>
              <w:rPr>
                <w:rFonts w:cstheme="minorHAnsi"/>
              </w:rPr>
            </w:pPr>
            <w:r>
              <w:rPr>
                <w:rFonts w:cstheme="minorHAnsi"/>
              </w:rPr>
              <w:t>20.5%</w:t>
            </w:r>
          </w:p>
        </w:tc>
      </w:tr>
      <w:tr w:rsidR="00875994" w14:paraId="55AB0CB9" w14:textId="77777777" w:rsidTr="00875994">
        <w:trPr>
          <w:trHeight w:val="260"/>
        </w:trPr>
        <w:tc>
          <w:tcPr>
            <w:tcW w:w="1714" w:type="dxa"/>
          </w:tcPr>
          <w:p w14:paraId="784972D3" w14:textId="77777777" w:rsidR="00875994" w:rsidRDefault="00875994" w:rsidP="00C81C94">
            <w:pPr>
              <w:snapToGrid w:val="0"/>
              <w:rPr>
                <w:rFonts w:cstheme="minorHAnsi"/>
              </w:rPr>
            </w:pPr>
            <w:r>
              <w:rPr>
                <w:rFonts w:cstheme="minorHAnsi"/>
              </w:rPr>
              <w:t>Afternoon</w:t>
            </w:r>
          </w:p>
        </w:tc>
        <w:tc>
          <w:tcPr>
            <w:tcW w:w="1186" w:type="dxa"/>
          </w:tcPr>
          <w:p w14:paraId="34C6F380" w14:textId="77777777" w:rsidR="00875994" w:rsidRDefault="00875994" w:rsidP="00C81C94">
            <w:pPr>
              <w:snapToGrid w:val="0"/>
              <w:jc w:val="center"/>
              <w:rPr>
                <w:rFonts w:cstheme="minorHAnsi"/>
              </w:rPr>
            </w:pPr>
            <w:r>
              <w:rPr>
                <w:rFonts w:cstheme="minorHAnsi"/>
              </w:rPr>
              <w:t>680</w:t>
            </w:r>
          </w:p>
        </w:tc>
        <w:tc>
          <w:tcPr>
            <w:tcW w:w="1294" w:type="dxa"/>
          </w:tcPr>
          <w:p w14:paraId="4F78503D" w14:textId="77777777" w:rsidR="00875994" w:rsidRDefault="00875994" w:rsidP="00C81C94">
            <w:pPr>
              <w:snapToGrid w:val="0"/>
              <w:jc w:val="center"/>
              <w:rPr>
                <w:rFonts w:cstheme="minorHAnsi"/>
              </w:rPr>
            </w:pPr>
            <w:r>
              <w:rPr>
                <w:rFonts w:cstheme="minorHAnsi"/>
              </w:rPr>
              <w:t>41.9%</w:t>
            </w:r>
          </w:p>
        </w:tc>
      </w:tr>
      <w:tr w:rsidR="00875994" w14:paraId="32EE6F6E" w14:textId="77777777" w:rsidTr="00875994">
        <w:trPr>
          <w:trHeight w:val="273"/>
        </w:trPr>
        <w:tc>
          <w:tcPr>
            <w:tcW w:w="1714" w:type="dxa"/>
            <w:tcBorders>
              <w:bottom w:val="single" w:sz="4" w:space="0" w:color="auto"/>
            </w:tcBorders>
          </w:tcPr>
          <w:p w14:paraId="1E1409DF" w14:textId="77777777" w:rsidR="00875994" w:rsidRDefault="00875994" w:rsidP="00C81C94">
            <w:pPr>
              <w:snapToGrid w:val="0"/>
              <w:rPr>
                <w:rFonts w:cstheme="minorHAnsi"/>
              </w:rPr>
            </w:pPr>
            <w:r>
              <w:rPr>
                <w:rFonts w:cstheme="minorHAnsi"/>
              </w:rPr>
              <w:t>Evening</w:t>
            </w:r>
          </w:p>
        </w:tc>
        <w:tc>
          <w:tcPr>
            <w:tcW w:w="1186" w:type="dxa"/>
            <w:tcBorders>
              <w:bottom w:val="single" w:sz="4" w:space="0" w:color="auto"/>
            </w:tcBorders>
          </w:tcPr>
          <w:p w14:paraId="01CB82BD" w14:textId="77777777" w:rsidR="00875994" w:rsidRDefault="00875994" w:rsidP="00C81C94">
            <w:pPr>
              <w:snapToGrid w:val="0"/>
              <w:jc w:val="center"/>
              <w:rPr>
                <w:rFonts w:cstheme="minorHAnsi"/>
              </w:rPr>
            </w:pPr>
            <w:r>
              <w:rPr>
                <w:rFonts w:cstheme="minorHAnsi"/>
              </w:rPr>
              <w:t>568</w:t>
            </w:r>
          </w:p>
        </w:tc>
        <w:tc>
          <w:tcPr>
            <w:tcW w:w="1294" w:type="dxa"/>
            <w:tcBorders>
              <w:bottom w:val="single" w:sz="4" w:space="0" w:color="auto"/>
            </w:tcBorders>
          </w:tcPr>
          <w:p w14:paraId="77632E26" w14:textId="77777777" w:rsidR="00875994" w:rsidRDefault="00875994" w:rsidP="00C81C94">
            <w:pPr>
              <w:snapToGrid w:val="0"/>
              <w:jc w:val="center"/>
              <w:rPr>
                <w:rFonts w:cstheme="minorHAnsi"/>
              </w:rPr>
            </w:pPr>
            <w:r>
              <w:rPr>
                <w:rFonts w:cstheme="minorHAnsi"/>
              </w:rPr>
              <w:t>35%</w:t>
            </w:r>
          </w:p>
        </w:tc>
      </w:tr>
      <w:tr w:rsidR="00875994" w14:paraId="5A13DCB3" w14:textId="77777777" w:rsidTr="00875994">
        <w:trPr>
          <w:trHeight w:val="246"/>
        </w:trPr>
        <w:tc>
          <w:tcPr>
            <w:tcW w:w="1714" w:type="dxa"/>
            <w:tcBorders>
              <w:top w:val="single" w:sz="4" w:space="0" w:color="auto"/>
              <w:bottom w:val="single" w:sz="4" w:space="0" w:color="auto"/>
            </w:tcBorders>
          </w:tcPr>
          <w:p w14:paraId="003590AD" w14:textId="77777777" w:rsidR="00875994" w:rsidRDefault="00875994" w:rsidP="00C81C94">
            <w:pPr>
              <w:snapToGrid w:val="0"/>
              <w:rPr>
                <w:rFonts w:cstheme="minorHAnsi"/>
              </w:rPr>
            </w:pPr>
            <w:r>
              <w:rPr>
                <w:rFonts w:cstheme="minorHAnsi"/>
              </w:rPr>
              <w:t>Total</w:t>
            </w:r>
          </w:p>
        </w:tc>
        <w:tc>
          <w:tcPr>
            <w:tcW w:w="1186" w:type="dxa"/>
            <w:tcBorders>
              <w:top w:val="single" w:sz="4" w:space="0" w:color="auto"/>
              <w:bottom w:val="single" w:sz="4" w:space="0" w:color="auto"/>
            </w:tcBorders>
          </w:tcPr>
          <w:p w14:paraId="21FBFBCA" w14:textId="77777777" w:rsidR="00875994" w:rsidRDefault="00875994" w:rsidP="00C81C94">
            <w:pPr>
              <w:snapToGrid w:val="0"/>
              <w:jc w:val="center"/>
              <w:rPr>
                <w:rFonts w:cstheme="minorHAnsi"/>
              </w:rPr>
            </w:pPr>
            <w:r>
              <w:rPr>
                <w:rFonts w:cstheme="minorHAnsi"/>
              </w:rPr>
              <w:t>1623</w:t>
            </w:r>
          </w:p>
        </w:tc>
        <w:tc>
          <w:tcPr>
            <w:tcW w:w="1294" w:type="dxa"/>
            <w:tcBorders>
              <w:top w:val="single" w:sz="4" w:space="0" w:color="auto"/>
              <w:bottom w:val="single" w:sz="4" w:space="0" w:color="auto"/>
            </w:tcBorders>
          </w:tcPr>
          <w:p w14:paraId="5AF73E0A" w14:textId="77777777" w:rsidR="00875994" w:rsidRDefault="00875994" w:rsidP="00C81C94">
            <w:pPr>
              <w:snapToGrid w:val="0"/>
              <w:jc w:val="center"/>
              <w:rPr>
                <w:rFonts w:cstheme="minorHAnsi"/>
              </w:rPr>
            </w:pPr>
            <w:r>
              <w:rPr>
                <w:rFonts w:cstheme="minorHAnsi"/>
              </w:rPr>
              <w:t>100%</w:t>
            </w:r>
          </w:p>
        </w:tc>
      </w:tr>
    </w:tbl>
    <w:p w14:paraId="47069B6A" w14:textId="77777777" w:rsidR="00831074" w:rsidRPr="00A36F86" w:rsidRDefault="00831074" w:rsidP="00831074">
      <w:pPr>
        <w:spacing w:line="360" w:lineRule="auto"/>
        <w:ind w:firstLine="720"/>
        <w:rPr>
          <w:rFonts w:cstheme="minorHAnsi"/>
        </w:rPr>
      </w:pPr>
      <w:r>
        <w:rPr>
          <w:rFonts w:cstheme="minorHAnsi"/>
        </w:rPr>
        <w:t xml:space="preserve">To investigate this question, we looked at police reports from Maryland’s largest city, Baltimore. We used Arrests data from the </w:t>
      </w:r>
      <w:r w:rsidRPr="00A36F86">
        <w:rPr>
          <w:rFonts w:cstheme="minorHAnsi"/>
        </w:rPr>
        <w:t>Baltimore Police Department</w:t>
      </w:r>
      <w:r>
        <w:rPr>
          <w:rFonts w:cstheme="minorHAnsi"/>
        </w:rPr>
        <w:t>, which contained entries from January 1</w:t>
      </w:r>
      <w:r w:rsidRPr="003B1002">
        <w:rPr>
          <w:rFonts w:cstheme="minorHAnsi"/>
          <w:vertAlign w:val="superscript"/>
        </w:rPr>
        <w:t>st</w:t>
      </w:r>
      <w:r>
        <w:rPr>
          <w:rFonts w:cstheme="minorHAnsi"/>
        </w:rPr>
        <w:t xml:space="preserve"> to March 18</w:t>
      </w:r>
      <w:r w:rsidRPr="003B1002">
        <w:rPr>
          <w:rFonts w:cstheme="minorHAnsi"/>
          <w:vertAlign w:val="superscript"/>
        </w:rPr>
        <w:t>th</w:t>
      </w:r>
      <w:r>
        <w:rPr>
          <w:rFonts w:cstheme="minorHAnsi"/>
        </w:rPr>
        <w:t>, 2018, to look at and identify drug offenses, among the reported offenses, and the time of arrest of drug offense.</w:t>
      </w:r>
    </w:p>
    <w:p w14:paraId="638509EC" w14:textId="77777777" w:rsidR="00875994" w:rsidRDefault="00CF72CD" w:rsidP="00831074">
      <w:pPr>
        <w:snapToGrid w:val="0"/>
        <w:spacing w:line="360" w:lineRule="auto"/>
        <w:ind w:firstLine="720"/>
      </w:pPr>
      <w:r>
        <w:t>The main question we sought to resolve was “are drug offenses more likely to occur in the afternoon?” To investigate this question, we looked at the type of incident offense and the arrest time. We narrowed the incident offenses down to drug offenses. After removing the other offenses, 1483 drug offenses remained. Then, we grouped the arrest time into four categories: Early Morning (00:00-05:59), Morning (06:00-11:59), Afternoon (12:00-17:59), and Evening (18:00-23:59).</w:t>
      </w:r>
    </w:p>
    <w:p w14:paraId="01DA8977" w14:textId="77777777" w:rsidR="00CF72CD" w:rsidRPr="00CF72CD" w:rsidRDefault="00875994" w:rsidP="00831074">
      <w:pPr>
        <w:snapToGrid w:val="0"/>
        <w:spacing w:line="360" w:lineRule="auto"/>
        <w:ind w:firstLine="720"/>
      </w:pPr>
      <w:r w:rsidRPr="00CF72CD">
        <w:rPr>
          <w:noProof/>
        </w:rPr>
        <w:lastRenderedPageBreak/>
        <w:drawing>
          <wp:anchor distT="0" distB="0" distL="114300" distR="114300" simplePos="0" relativeHeight="251658240" behindDoc="0" locked="0" layoutInCell="1" allowOverlap="1" wp14:anchorId="0055087E" wp14:editId="59337C59">
            <wp:simplePos x="0" y="0"/>
            <wp:positionH relativeFrom="margin">
              <wp:align>left</wp:align>
            </wp:positionH>
            <wp:positionV relativeFrom="paragraph">
              <wp:posOffset>533400</wp:posOffset>
            </wp:positionV>
            <wp:extent cx="2886075" cy="2886075"/>
            <wp:effectExtent l="0" t="0" r="9525" b="9525"/>
            <wp:wrapSquare wrapText="bothSides"/>
            <wp:docPr id="1" name="Picture 1" descr="https://lh5.googleusercontent.com/Q1YNtprOeUGo6r9TsAIxdkbwPT6n4m7ZJSCo4YhQaoJxzOMmWOAoJ52HPamWbM5b2tRJNLds9N1qhQAZwMcUm3rDthNsBGnAfQM1iSDqXuro2ZCG9gi-OYVQYgkgiaG8hBAki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1YNtprOeUGo6r9TsAIxdkbwPT6n4m7ZJSCo4YhQaoJxzOMmWOAoJ52HPamWbM5b2tRJNLds9N1qhQAZwMcUm3rDthNsBGnAfQM1iSDqXuro2ZCG9gi-OYVQYgkgiaG8hBAkib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2CD" w:rsidRPr="00CF72CD">
        <w:t xml:space="preserve">The </w:t>
      </w:r>
      <w:proofErr w:type="spellStart"/>
      <w:r w:rsidR="00CF72CD" w:rsidRPr="00CF72CD">
        <w:t>barplot</w:t>
      </w:r>
      <w:proofErr w:type="spellEnd"/>
      <w:r w:rsidR="00CF72CD" w:rsidRPr="00CF72CD">
        <w:t xml:space="preserve"> measure shows that most drug offenses occur during the Afternoon (12 p.m. - 6 p.m. </w:t>
      </w:r>
      <w:r w:rsidR="00CF72CD" w:rsidRPr="00CF72CD">
        <w:rPr>
          <w:vertAlign w:val="subscript"/>
        </w:rPr>
        <w:t> </w:t>
      </w:r>
      <w:r w:rsidR="00CF72CD" w:rsidRPr="00CF72CD">
        <w:t xml:space="preserve">In addition to the evidence from the </w:t>
      </w:r>
      <w:proofErr w:type="spellStart"/>
      <w:r w:rsidR="00CF72CD" w:rsidRPr="00CF72CD">
        <w:t>barplot</w:t>
      </w:r>
      <w:proofErr w:type="spellEnd"/>
      <w:r w:rsidR="00CF72CD" w:rsidRPr="00CF72CD">
        <w:t>, a chi-square anal</w:t>
      </w:r>
      <w:r>
        <w:t>ysis with an alpha of 0.05</w:t>
      </w:r>
      <w:r w:rsidR="00CF72CD" w:rsidRPr="00CF72CD">
        <w:t> reveals that these findings are statistically significant, with a chi-squared value of X</w:t>
      </w:r>
      <w:r w:rsidR="00CF72CD" w:rsidRPr="00CF72CD">
        <w:rPr>
          <w:vertAlign w:val="superscript"/>
        </w:rPr>
        <w:t>2</w:t>
      </w:r>
      <w:r w:rsidR="00CF72CD" w:rsidRPr="00CF72CD">
        <w:t xml:space="preserve"> (3, n = 1623) = 587.16, p &lt; .05. Despite our </w:t>
      </w:r>
      <w:r w:rsidRPr="00CF72CD">
        <w:t>findings</w:t>
      </w:r>
      <w:r w:rsidR="00CF72CD" w:rsidRPr="00CF72CD">
        <w:t xml:space="preserve"> in the </w:t>
      </w:r>
      <w:proofErr w:type="spellStart"/>
      <w:r w:rsidR="00CF72CD" w:rsidRPr="00CF72CD">
        <w:t>barplot</w:t>
      </w:r>
      <w:proofErr w:type="spellEnd"/>
      <w:r w:rsidR="00CF72CD" w:rsidRPr="00CF72CD">
        <w:t>, we are able to reject our null hypothesis that most drug offenses</w:t>
      </w:r>
      <w:r w:rsidR="00144A94">
        <w:t xml:space="preserve"> do not</w:t>
      </w:r>
      <w:r w:rsidR="00CF72CD" w:rsidRPr="00CF72CD">
        <w:t xml:space="preserve"> happen in the afternoon with a p-value that is essentially zero (p = 2.2e -16).  The Cramer’s V effect size of 0.35 suggests that there is a moderately strong effect between the time of day and drug offense arrests. Therefore, we can confidently claim that there is some sort of correlation between time of day and drug offense arrests.</w:t>
      </w:r>
    </w:p>
    <w:p w14:paraId="37D84ED5" w14:textId="77777777" w:rsidR="00CF72CD" w:rsidRPr="00CF72CD" w:rsidRDefault="00CF72CD" w:rsidP="00831074">
      <w:pPr>
        <w:snapToGrid w:val="0"/>
        <w:spacing w:line="360" w:lineRule="auto"/>
        <w:ind w:firstLine="720"/>
      </w:pPr>
      <w:r w:rsidRPr="00CF72CD">
        <w:t>Despite our results, our study still has its’ limitations. One major limitation was measuring the arrest time rather than the offense time. Unfortunately, the time that the offense occurred was not included in the Baltimore Police Department’s data set. This poses one major problem. If the incident were to occur at 11:55 a.m. and the arrest did not occur until 12:05 p.m., then the offense would be included in the ‘Afternoon’ bin even though it occurred in the morning. This is unlikely to happen so many times that it would drastically affect our data, but with that being said it still affects our results. An updated database that includes the time of the incident would help us gain more accurate results.</w:t>
      </w:r>
    </w:p>
    <w:sectPr w:rsidR="00CF72CD" w:rsidRPr="00CF72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0362A" w14:textId="77777777" w:rsidR="009A2002" w:rsidRDefault="009A2002" w:rsidP="006D4925">
      <w:pPr>
        <w:spacing w:after="0" w:line="240" w:lineRule="auto"/>
      </w:pPr>
      <w:r>
        <w:separator/>
      </w:r>
    </w:p>
  </w:endnote>
  <w:endnote w:type="continuationSeparator" w:id="0">
    <w:p w14:paraId="03BD9556" w14:textId="77777777" w:rsidR="009A2002" w:rsidRDefault="009A2002" w:rsidP="006D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FE3F4" w14:textId="77777777" w:rsidR="00D03DC7" w:rsidRDefault="00D03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9874" w14:textId="07264708" w:rsidR="006D4925" w:rsidRPr="006D4925" w:rsidRDefault="006D4925">
    <w:pPr>
      <w:pStyle w:val="Footer"/>
      <w:jc w:val="right"/>
    </w:pPr>
    <w:r w:rsidRPr="00CF72CD">
      <w:t>Andrew Carroll</w:t>
    </w:r>
    <w:r w:rsidR="00D03DC7">
      <w:t xml:space="preserve"> </w:t>
    </w:r>
    <w:sdt>
      <w:sdtPr>
        <w:id w:val="-1920867722"/>
        <w:docPartObj>
          <w:docPartGallery w:val="Page Numbers (Bottom of Page)"/>
          <w:docPartUnique/>
        </w:docPartObj>
      </w:sdtPr>
      <w:sdtEndPr/>
      <w:sdtContent>
        <w:sdt>
          <w:sdtPr>
            <w:id w:val="-1769616900"/>
            <w:docPartObj>
              <w:docPartGallery w:val="Page Numbers (Top of Page)"/>
              <w:docPartUnique/>
            </w:docPartObj>
          </w:sdtPr>
          <w:sdtEndPr/>
          <w:sdtContent>
            <w:r w:rsidRPr="006D4925">
              <w:t xml:space="preserve">Page </w:t>
            </w:r>
            <w:r w:rsidRPr="006D4925">
              <w:rPr>
                <w:bCs/>
                <w:sz w:val="24"/>
                <w:szCs w:val="24"/>
              </w:rPr>
              <w:fldChar w:fldCharType="begin"/>
            </w:r>
            <w:r w:rsidRPr="006D4925">
              <w:rPr>
                <w:bCs/>
              </w:rPr>
              <w:instrText xml:space="preserve"> PAGE </w:instrText>
            </w:r>
            <w:r w:rsidRPr="006D4925">
              <w:rPr>
                <w:bCs/>
                <w:sz w:val="24"/>
                <w:szCs w:val="24"/>
              </w:rPr>
              <w:fldChar w:fldCharType="separate"/>
            </w:r>
            <w:r w:rsidR="00C81C94">
              <w:rPr>
                <w:bCs/>
                <w:noProof/>
              </w:rPr>
              <w:t>2</w:t>
            </w:r>
            <w:r w:rsidRPr="006D4925">
              <w:rPr>
                <w:bCs/>
                <w:sz w:val="24"/>
                <w:szCs w:val="24"/>
              </w:rPr>
              <w:fldChar w:fldCharType="end"/>
            </w:r>
            <w:r w:rsidRPr="006D4925">
              <w:t xml:space="preserve"> of </w:t>
            </w:r>
            <w:r w:rsidRPr="006D4925">
              <w:rPr>
                <w:bCs/>
                <w:sz w:val="24"/>
                <w:szCs w:val="24"/>
              </w:rPr>
              <w:fldChar w:fldCharType="begin"/>
            </w:r>
            <w:r w:rsidRPr="006D4925">
              <w:rPr>
                <w:bCs/>
              </w:rPr>
              <w:instrText xml:space="preserve"> NUMPAGES  </w:instrText>
            </w:r>
            <w:r w:rsidRPr="006D4925">
              <w:rPr>
                <w:bCs/>
                <w:sz w:val="24"/>
                <w:szCs w:val="24"/>
              </w:rPr>
              <w:fldChar w:fldCharType="separate"/>
            </w:r>
            <w:r w:rsidR="00C81C94">
              <w:rPr>
                <w:bCs/>
                <w:noProof/>
              </w:rPr>
              <w:t>2</w:t>
            </w:r>
            <w:r w:rsidRPr="006D4925">
              <w:rPr>
                <w:bCs/>
                <w:sz w:val="24"/>
                <w:szCs w:val="24"/>
              </w:rPr>
              <w:fldChar w:fldCharType="end"/>
            </w:r>
          </w:sdtContent>
        </w:sdt>
      </w:sdtContent>
    </w:sdt>
  </w:p>
  <w:p w14:paraId="5FE99758" w14:textId="77777777" w:rsidR="006D4925" w:rsidRPr="006D4925" w:rsidRDefault="006D4925" w:rsidP="006D4925">
    <w:pPr>
      <w:pStyle w:val="Footer"/>
      <w:tabs>
        <w:tab w:val="clear" w:pos="4680"/>
        <w:tab w:val="clear" w:pos="9360"/>
        <w:tab w:val="left" w:pos="702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14DD" w14:textId="77777777" w:rsidR="00D03DC7" w:rsidRDefault="00D0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537B2" w14:textId="77777777" w:rsidR="009A2002" w:rsidRDefault="009A2002" w:rsidP="006D4925">
      <w:pPr>
        <w:spacing w:after="0" w:line="240" w:lineRule="auto"/>
      </w:pPr>
      <w:r>
        <w:separator/>
      </w:r>
    </w:p>
  </w:footnote>
  <w:footnote w:type="continuationSeparator" w:id="0">
    <w:p w14:paraId="7FB4FB33" w14:textId="77777777" w:rsidR="009A2002" w:rsidRDefault="009A2002" w:rsidP="006D4925">
      <w:pPr>
        <w:spacing w:after="0" w:line="240" w:lineRule="auto"/>
      </w:pPr>
      <w:r>
        <w:continuationSeparator/>
      </w:r>
    </w:p>
  </w:footnote>
  <w:footnote w:id="1">
    <w:p w14:paraId="7733E119" w14:textId="77777777" w:rsidR="00831074" w:rsidRDefault="00831074">
      <w:pPr>
        <w:pStyle w:val="FootnoteText"/>
      </w:pPr>
      <w:r>
        <w:rPr>
          <w:rStyle w:val="FootnoteReference"/>
        </w:rPr>
        <w:footnoteRef/>
      </w:r>
      <w:r>
        <w:t xml:space="preserve"> The number of drugs related arrests in the U.S in 2017 </w:t>
      </w:r>
      <w:hyperlink r:id="rId1" w:history="1">
        <w:r w:rsidRPr="009D1A06">
          <w:rPr>
            <w:rStyle w:val="Hyperlink"/>
          </w:rPr>
          <w:t>https://ucr.fbi.gov/crime-in-the-u.s/2017/crime-in-the-u.s.-2017/topic-pages/persons-arrested</w:t>
        </w:r>
      </w:hyperlink>
    </w:p>
    <w:p w14:paraId="1C4F61FD" w14:textId="77777777" w:rsidR="00831074" w:rsidRDefault="00831074">
      <w:pPr>
        <w:pStyle w:val="FootnoteText"/>
      </w:pPr>
    </w:p>
  </w:footnote>
  <w:footnote w:id="2">
    <w:p w14:paraId="2C6EDB96" w14:textId="77777777" w:rsidR="00831074" w:rsidRDefault="00831074">
      <w:pPr>
        <w:pStyle w:val="FootnoteText"/>
      </w:pPr>
      <w:r>
        <w:rPr>
          <w:rStyle w:val="FootnoteReference"/>
        </w:rPr>
        <w:footnoteRef/>
      </w:r>
      <w:r>
        <w:t xml:space="preserve"> The number of drugs related arrests in Maryland in 2017 </w:t>
      </w:r>
      <w:hyperlink r:id="rId2" w:history="1">
        <w:r w:rsidRPr="009D1A06">
          <w:rPr>
            <w:rStyle w:val="Hyperlink"/>
          </w:rPr>
          <w:t>https://ucr.fbi.gov/crime-in-the-u.s/2017/crime-in-the-u.s.-2017/tables/table-69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A980" w14:textId="77777777" w:rsidR="00D03DC7" w:rsidRDefault="00D0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B4B9" w14:textId="77777777" w:rsidR="00D03DC7" w:rsidRDefault="00D03DC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7FE2" w14:textId="77777777" w:rsidR="00D03DC7" w:rsidRDefault="00D03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CD"/>
    <w:rsid w:val="000C1705"/>
    <w:rsid w:val="00144A94"/>
    <w:rsid w:val="0030795A"/>
    <w:rsid w:val="00383384"/>
    <w:rsid w:val="006D4925"/>
    <w:rsid w:val="006E7C31"/>
    <w:rsid w:val="00743EE7"/>
    <w:rsid w:val="00831074"/>
    <w:rsid w:val="0086403C"/>
    <w:rsid w:val="00875994"/>
    <w:rsid w:val="009A2002"/>
    <w:rsid w:val="00A54009"/>
    <w:rsid w:val="00B24668"/>
    <w:rsid w:val="00BF67D1"/>
    <w:rsid w:val="00C81C94"/>
    <w:rsid w:val="00CF72CD"/>
    <w:rsid w:val="00D03DC7"/>
    <w:rsid w:val="00E26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DAC8"/>
  <w15:chartTrackingRefBased/>
  <w15:docId w15:val="{C608F776-1E67-4149-B9E5-DACB88AF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CD"/>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paragraph" w:styleId="FootnoteText">
    <w:name w:val="footnote text"/>
    <w:basedOn w:val="Normal"/>
    <w:link w:val="FootnoteTextChar"/>
    <w:uiPriority w:val="99"/>
    <w:semiHidden/>
    <w:unhideWhenUsed/>
    <w:rsid w:val="00831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074"/>
    <w:rPr>
      <w:sz w:val="20"/>
      <w:szCs w:val="20"/>
    </w:rPr>
  </w:style>
  <w:style w:type="character" w:styleId="FootnoteReference">
    <w:name w:val="footnote reference"/>
    <w:basedOn w:val="DefaultParagraphFont"/>
    <w:uiPriority w:val="99"/>
    <w:semiHidden/>
    <w:unhideWhenUsed/>
    <w:rsid w:val="00831074"/>
    <w:rPr>
      <w:vertAlign w:val="superscript"/>
    </w:rPr>
  </w:style>
  <w:style w:type="character" w:styleId="Hyperlink">
    <w:name w:val="Hyperlink"/>
    <w:basedOn w:val="DefaultParagraphFont"/>
    <w:uiPriority w:val="99"/>
    <w:unhideWhenUsed/>
    <w:rsid w:val="00831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975">
      <w:bodyDiv w:val="1"/>
      <w:marLeft w:val="0"/>
      <w:marRight w:val="0"/>
      <w:marTop w:val="0"/>
      <w:marBottom w:val="0"/>
      <w:divBdr>
        <w:top w:val="none" w:sz="0" w:space="0" w:color="auto"/>
        <w:left w:val="none" w:sz="0" w:space="0" w:color="auto"/>
        <w:bottom w:val="none" w:sz="0" w:space="0" w:color="auto"/>
        <w:right w:val="none" w:sz="0" w:space="0" w:color="auto"/>
      </w:divBdr>
    </w:div>
    <w:div w:id="147668605">
      <w:bodyDiv w:val="1"/>
      <w:marLeft w:val="0"/>
      <w:marRight w:val="0"/>
      <w:marTop w:val="0"/>
      <w:marBottom w:val="0"/>
      <w:divBdr>
        <w:top w:val="none" w:sz="0" w:space="0" w:color="auto"/>
        <w:left w:val="none" w:sz="0" w:space="0" w:color="auto"/>
        <w:bottom w:val="none" w:sz="0" w:space="0" w:color="auto"/>
        <w:right w:val="none" w:sz="0" w:space="0" w:color="auto"/>
      </w:divBdr>
    </w:div>
    <w:div w:id="717436558">
      <w:bodyDiv w:val="1"/>
      <w:marLeft w:val="0"/>
      <w:marRight w:val="0"/>
      <w:marTop w:val="0"/>
      <w:marBottom w:val="0"/>
      <w:divBdr>
        <w:top w:val="none" w:sz="0" w:space="0" w:color="auto"/>
        <w:left w:val="none" w:sz="0" w:space="0" w:color="auto"/>
        <w:bottom w:val="none" w:sz="0" w:space="0" w:color="auto"/>
        <w:right w:val="none" w:sz="0" w:space="0" w:color="auto"/>
      </w:divBdr>
    </w:div>
    <w:div w:id="13346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ucr.fbi.gov/crime-in-the-u.s/2017/crime-in-the-u.s.-2017/tables/table-69" TargetMode="External"/><Relationship Id="rId1" Type="http://schemas.openxmlformats.org/officeDocument/2006/relationships/hyperlink" Target="https://ucr.fbi.gov/crime-in-the-u.s/2017/crime-in-the-u.s.-2017/topic-pages/persons-arr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197C-12BD-41FF-BF68-9FF03C74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Garcia</dc:creator>
  <cp:keywords/>
  <dc:description/>
  <cp:lastModifiedBy>Andrew Patrick Carroll</cp:lastModifiedBy>
  <cp:revision>2</cp:revision>
  <dcterms:created xsi:type="dcterms:W3CDTF">2019-09-04T02:28:00Z</dcterms:created>
  <dcterms:modified xsi:type="dcterms:W3CDTF">2019-09-04T02:28:00Z</dcterms:modified>
</cp:coreProperties>
</file>