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color w:val="1F4E79"/>
          <w:sz w:val="36"/>
          <w:szCs w:val="36"/>
        </w:rPr>
        <w:t xml:space="preserve">A Compressed Latin Botanical Cipher:</w:t>
      </w:r>
    </w:p>
    <w:p>
      <w:pPr>
        <w:spacing w:after="200" w:before="0"/>
        <w:jc w:val="center"/>
      </w:pPr>
      <w:r>
        <w:rPr>
          <w:rFonts w:ascii="Times New Roman" w:cs="Times New Roman" w:eastAsia="Times New Roman" w:hAnsi="Times New Roman"/>
          <w:b/>
          <w:bCs/>
          <w:color w:val="1F4E79"/>
          <w:sz w:val="30"/>
          <w:szCs w:val="30"/>
        </w:rPr>
        <w:t xml:space="preserve">The Voynich Manuscript as a Medieval Phytoanatomical Reference</w:t>
      </w:r>
    </w:p>
    <w:p>
      <w:pPr>
        <w:pBdr>
          <w:bottom w:val="single" w:color="CCCCCC" w:sz="2" w:space="1"/>
        </w:pBdr>
        <w:spacing w:after="80" w:before="80"/>
      </w:pPr>
    </w:p>
    <w:p>
      <w:pPr>
        <w:spacing w:after="80" w:before="200"/>
        <w:jc w:val="center"/>
      </w:pPr>
      <w:r>
        <w:rPr>
          <w:rFonts w:ascii="Times New Roman" w:cs="Times New Roman" w:eastAsia="Times New Roman" w:hAnsi="Times New Roman"/>
          <w:b/>
          <w:bCs/>
          <w:sz w:val="26"/>
          <w:szCs w:val="26"/>
        </w:rPr>
        <w:t xml:space="preserve">Uk Kim</w:t>
      </w:r>
    </w:p>
    <w:p>
      <w:pPr>
        <w:spacing w:after="60" w:before="0"/>
        <w:jc w:val="center"/>
      </w:pPr>
      <w:r>
        <w:rPr>
          <w:rFonts w:ascii="Times New Roman" w:cs="Times New Roman" w:eastAsia="Times New Roman" w:hAnsi="Times New Roman"/>
          <w:color w:val="666666"/>
          <w:sz w:val="18"/>
          <w:szCs w:val="18"/>
        </w:rPr>
        <w:t xml:space="preserve">Publisher &amp; Graphic Designer  |  Independent Researcher  |  Korea</w:t>
      </w:r>
    </w:p>
    <w:p>
      <w:pPr>
        <w:spacing w:after="60" w:before="0"/>
        <w:jc w:val="center"/>
      </w:pPr>
      <w:r>
        <w:rPr>
          <w:rFonts w:ascii="Times New Roman" w:cs="Times New Roman" w:eastAsia="Times New Roman" w:hAnsi="Times New Roman"/>
          <w:color w:val="666666"/>
          <w:sz w:val="18"/>
          <w:szCs w:val="18"/>
        </w:rPr>
        <w:t xml:space="preserve">tearain@kyonggi.ac.kr</w:t>
      </w:r>
    </w:p>
    <w:p>
      <w:pPr>
        <w:spacing w:after="60" w:before="0"/>
        <w:jc w:val="center"/>
      </w:pPr>
      <w:r>
        <w:rPr>
          <w:rFonts w:ascii="Times New Roman" w:cs="Times New Roman" w:eastAsia="Times New Roman" w:hAnsi="Times New Roman"/>
          <w:color w:val="666666"/>
          <w:sz w:val="18"/>
          <w:szCs w:val="18"/>
        </w:rPr>
        <w:t xml:space="preserve">GitHub: https://github.com/andceterapress/voynich-latin-parser</w:t>
      </w:r>
    </w:p>
    <w:p>
      <w:pPr>
        <w:spacing w:after="200" w:before="0"/>
        <w:jc w:val="center"/>
      </w:pPr>
      <w:r>
        <w:rPr>
          <w:rFonts w:ascii="Times New Roman" w:cs="Times New Roman" w:eastAsia="Times New Roman" w:hAnsi="Times New Roman"/>
          <w:color w:val="666666"/>
          <w:sz w:val="18"/>
          <w:szCs w:val="18"/>
        </w:rPr>
        <w:t xml:space="preserve">June 2026</w:t>
      </w:r>
    </w:p>
    <w:p>
      <w:pPr>
        <w:pBdr>
          <w:bottom w:val="single" w:color="CCCCCC" w:sz="2" w:space="1"/>
        </w:pBdr>
        <w:spacing w:after="80" w:before="80"/>
      </w:pPr>
    </w:p>
    <w:p>
      <w:pPr>
        <w:pBdr>
          <w:top w:val="single" w:color="C8A000" w:sz="3" w:space="4"/>
          <w:bottom w:val="single" w:color="C8A000" w:sz="3" w:space="4"/>
        </w:pBdr>
        <w:shd w:fill="FFF8E6" w:val="clear"/>
        <w:spacing w:after="80" w:before="160"/>
      </w:pPr>
      <w:r>
        <w:rPr>
          <w:rFonts w:ascii="Times New Roman" w:cs="Times New Roman" w:eastAsia="Times New Roman" w:hAnsi="Times New Roman"/>
          <w:b/>
          <w:bCs/>
          <w:sz w:val="22"/>
          <w:szCs w:val="22"/>
        </w:rPr>
        <w:t xml:space="preserve">Disclosure: </w:t>
      </w:r>
      <w:r>
        <w:rPr>
          <w:rFonts w:ascii="Times New Roman" w:cs="Times New Roman" w:eastAsia="Times New Roman" w:hAnsi="Times New Roman"/>
          <w:sz w:val="22"/>
          <w:szCs w:val="22"/>
        </w:rPr>
        <w:t xml:space="preserve">This research was conducted by an independent amateur researcher with no academic affiliation in linguistics, cryptography, or manuscript studies. Computational analysis, statistical testing, and manuscript drafting were performed with the assistance of </w:t>
      </w:r>
      <w:r>
        <w:rPr>
          <w:rFonts w:ascii="Times New Roman" w:cs="Times New Roman" w:eastAsia="Times New Roman" w:hAnsi="Times New Roman"/>
          <w:i/>
          <w:iCs/>
          <w:sz w:val="22"/>
          <w:szCs w:val="22"/>
        </w:rPr>
        <w:t xml:space="preserve">Claude Sonnet 4.6</w:t>
      </w:r>
      <w:r>
        <w:rPr>
          <w:rFonts w:ascii="Times New Roman" w:cs="Times New Roman" w:eastAsia="Times New Roman" w:hAnsi="Times New Roman"/>
          <w:sz w:val="22"/>
          <w:szCs w:val="22"/>
        </w:rPr>
        <w:t xml:space="preserve"> (Anthropic), a large language model. The core hypotheses — (1) the pharmaceutical section as plant cross-section diagrams, (2) the biological section as vascular flow personification, and (3) the astronomical section as a seasonal harvest calendar — originated with the author. All claims are presented as falsifiable hypotheses, not established decipherments. Code and data are fully open-source for independent replication.</w:t>
      </w: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Abstract</w:t>
      </w:r>
    </w:p>
    <w:p>
      <w:pPr>
        <w:spacing w:after="160"/>
        <w:jc w:val="both"/>
      </w:pPr>
      <w:r>
        <w:rPr>
          <w:rFonts w:ascii="Times New Roman" w:cs="Times New Roman" w:eastAsia="Times New Roman" w:hAnsi="Times New Roman"/>
          <w:sz w:val="22"/>
          <w:szCs w:val="22"/>
        </w:rPr>
        <w:t xml:space="preserve">We present a falsifiable computational hypothesis that Beinecke MS 408 (the Voynich Manuscript, ca. 1404–1438) </w:t>
      </w:r>
      <w:r>
        <w:rPr>
          <w:rFonts w:ascii="Times New Roman" w:cs="Times New Roman" w:eastAsia="Times New Roman" w:hAnsi="Times New Roman"/>
          <w:sz w:val="22"/>
          <w:szCs w:val="22"/>
        </w:rPr>
        <w:t xml:space="preserve">encodes a compressed Latin botanical-medical reference text produced in the tradition of north-Italian monastic </w:t>
      </w:r>
      <w:r>
        <w:rPr>
          <w:rFonts w:ascii="Times New Roman" w:cs="Times New Roman" w:eastAsia="Times New Roman" w:hAnsi="Times New Roman"/>
          <w:sz w:val="22"/>
          <w:szCs w:val="22"/>
        </w:rPr>
        <w:t xml:space="preserve">pharmacopoeia. Each EVA word-token encodes Latin roots from plant anatomy (Mondino dei Luzzi, </w:t>
      </w:r>
      <w:r>
        <w:rPr>
          <w:rFonts w:ascii="Times New Roman" w:cs="Times New Roman" w:eastAsia="Times New Roman" w:hAnsi="Times New Roman"/>
          <w:i/>
          <w:iCs/>
          <w:sz w:val="22"/>
          <w:szCs w:val="22"/>
        </w:rPr>
        <w:t xml:space="preserve">Anathomia</w:t>
      </w:r>
      <w:r>
        <w:rPr>
          <w:rFonts w:ascii="Times New Roman" w:cs="Times New Roman" w:eastAsia="Times New Roman" w:hAnsi="Times New Roman"/>
          <w:sz w:val="22"/>
          <w:szCs w:val="22"/>
        </w:rPr>
        <w:t xml:space="preserve">, 1316), four-humour pharmacology (</w:t>
      </w:r>
      <w:r>
        <w:rPr>
          <w:rFonts w:ascii="Times New Roman" w:cs="Times New Roman" w:eastAsia="Times New Roman" w:hAnsi="Times New Roman"/>
          <w:i/>
          <w:iCs/>
          <w:sz w:val="22"/>
          <w:szCs w:val="22"/>
        </w:rPr>
        <w:t xml:space="preserve">Regimen Sanitatis Salernitanum</w:t>
      </w:r>
      <w:r>
        <w:rPr>
          <w:rFonts w:ascii="Times New Roman" w:cs="Times New Roman" w:eastAsia="Times New Roman" w:hAnsi="Times New Roman"/>
          <w:sz w:val="22"/>
          <w:szCs w:val="22"/>
        </w:rPr>
        <w:t xml:space="preserve">), and the </w:t>
      </w:r>
      <w:r>
        <w:rPr>
          <w:rFonts w:ascii="Times New Roman" w:cs="Times New Roman" w:eastAsia="Times New Roman" w:hAnsi="Times New Roman"/>
          <w:i/>
          <w:iCs/>
          <w:sz w:val="22"/>
          <w:szCs w:val="22"/>
        </w:rPr>
        <w:t xml:space="preserve">Tacuinum Sanitatis</w:t>
      </w:r>
      <w:r>
        <w:rPr>
          <w:rFonts w:ascii="Times New Roman" w:cs="Times New Roman" w:eastAsia="Times New Roman" w:hAnsi="Times New Roman"/>
          <w:sz w:val="22"/>
          <w:szCs w:val="22"/>
        </w:rPr>
        <w:t xml:space="preserve"> tradition (1380–1450, Padua). A parser implementing 68 roots, 6 prefixes, and 26 suffixes achieves a corpus-wide </w:t>
      </w:r>
      <w:r>
        <w:rPr>
          <w:rFonts w:ascii="Times New Roman" w:cs="Times New Roman" w:eastAsia="Times New Roman" w:hAnsi="Times New Roman"/>
          <w:b/>
          <w:bCs/>
          <w:sz w:val="22"/>
          <w:szCs w:val="22"/>
        </w:rPr>
        <w:t xml:space="preserve">interpretation rate of 98.7%</w:t>
      </w:r>
      <w:r>
        <w:rPr>
          <w:rFonts w:ascii="Times New Roman" w:cs="Times New Roman" w:eastAsia="Times New Roman" w:hAnsi="Times New Roman"/>
          <w:sz w:val="22"/>
          <w:szCs w:val="22"/>
        </w:rPr>
        <w:t xml:space="preserve"> across 31,007 tokens. A permutation test (n = 1,000 random root sets) yields </w:t>
      </w:r>
      <w:r>
        <w:rPr>
          <w:rFonts w:ascii="Times New Roman" w:cs="Times New Roman" w:eastAsia="Times New Roman" w:hAnsi="Times New Roman"/>
          <w:b/>
          <w:bCs/>
          <w:sz w:val="22"/>
          <w:szCs w:val="22"/>
        </w:rPr>
        <w:t xml:space="preserve">z = 7.3σ, p &lt; 0.001</w:t>
      </w:r>
      <w:r>
        <w:rPr>
          <w:rFonts w:ascii="Times New Roman" w:cs="Times New Roman" w:eastAsia="Times New Roman" w:hAnsi="Times New Roman"/>
          <w:sz w:val="22"/>
          <w:szCs w:val="22"/>
        </w:rPr>
        <w:t xml:space="preserve">, with zero random trials reaching the obtained rate. Zipf analysis confirms natural-language word-frequency structure (α = 1.035, R² = 0.979). Character-level entropy anomalies (Bowern &amp; Lindemann, 2021) resolve when EVA compound glyphs are treated as single units (h₂ = 3.148 bits/glyph, consistent with medieval Latin syllable estimates). Three botanical folios are independently identified: f5v as </w:t>
      </w:r>
      <w:r>
        <w:rPr>
          <w:rFonts w:ascii="Times New Roman" w:cs="Times New Roman" w:eastAsia="Times New Roman" w:hAnsi="Times New Roman"/>
          <w:i/>
          <w:iCs/>
          <w:sz w:val="22"/>
          <w:szCs w:val="22"/>
        </w:rPr>
        <w:t xml:space="preserve">Malva sylvestris</w:t>
      </w:r>
      <w:r>
        <w:rPr>
          <w:rFonts w:ascii="Times New Roman" w:cs="Times New Roman" w:eastAsia="Times New Roman" w:hAnsi="Times New Roman"/>
          <w:sz w:val="22"/>
          <w:szCs w:val="22"/>
        </w:rPr>
        <w:t xml:space="preserve"> (mallow), f28r as </w:t>
      </w:r>
      <w:r>
        <w:rPr>
          <w:rFonts w:ascii="Times New Roman" w:cs="Times New Roman" w:eastAsia="Times New Roman" w:hAnsi="Times New Roman"/>
          <w:i/>
          <w:iCs/>
          <w:sz w:val="22"/>
          <w:szCs w:val="22"/>
        </w:rPr>
        <w:t xml:space="preserve">Urtica dioica</w:t>
      </w:r>
      <w:r>
        <w:rPr>
          <w:rFonts w:ascii="Times New Roman" w:cs="Times New Roman" w:eastAsia="Times New Roman" w:hAnsi="Times New Roman"/>
          <w:sz w:val="22"/>
          <w:szCs w:val="22"/>
        </w:rPr>
        <w:t xml:space="preserve"> (stinging nettle), and f55r as </w:t>
      </w:r>
      <w:r>
        <w:rPr>
          <w:rFonts w:ascii="Times New Roman" w:cs="Times New Roman" w:eastAsia="Times New Roman" w:hAnsi="Times New Roman"/>
          <w:i/>
          <w:iCs/>
          <w:sz w:val="22"/>
          <w:szCs w:val="22"/>
        </w:rPr>
        <w:t xml:space="preserve">Rosa canina</w:t>
      </w:r>
      <w:r>
        <w:rPr>
          <w:rFonts w:ascii="Times New Roman" w:cs="Times New Roman" w:eastAsia="Times New Roman" w:hAnsi="Times New Roman"/>
          <w:sz w:val="22"/>
          <w:szCs w:val="22"/>
        </w:rPr>
        <w:t xml:space="preserve"> (rose), each confirmed against Dioscorides, Macer Floridus, and Tacuinum Sanitatis. The pharmaceutical section (f99–f102) is reinterpreted as plant stem cross-section diagrams rather than apothecary jars, supported by five independent lines of evidence. The astronomical section is proposed as a phytoanatomical seasonal harvest calendar — a botanical variant of the </w:t>
      </w:r>
      <w:r>
        <w:rPr>
          <w:rFonts w:ascii="Times New Roman" w:cs="Times New Roman" w:eastAsia="Times New Roman" w:hAnsi="Times New Roman"/>
          <w:i/>
          <w:iCs/>
          <w:sz w:val="22"/>
          <w:szCs w:val="22"/>
        </w:rPr>
        <w:t xml:space="preserve">Homo Signorum</w:t>
      </w:r>
      <w:r>
        <w:rPr>
          <w:rFonts w:ascii="Times New Roman" w:cs="Times New Roman" w:eastAsia="Times New Roman" w:hAnsi="Times New Roman"/>
          <w:sz w:val="22"/>
          <w:szCs w:val="22"/>
        </w:rPr>
        <w:t xml:space="preserve"> tradition. All code and the v21 dictionary are openly available at https://github.com/andceterapress/voynich-latin-parser (tag: v21).</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1. Introduction</w:t>
      </w:r>
    </w:p>
    <w:p>
      <w:pPr>
        <w:pStyle w:val="Heading2"/>
        <w:spacing w:after="100" w:before="240"/>
      </w:pPr>
      <w:r>
        <w:rPr>
          <w:rFonts w:ascii="Times New Roman" w:cs="Times New Roman" w:eastAsia="Times New Roman" w:hAnsi="Times New Roman"/>
          <w:b/>
          <w:bCs/>
          <w:color w:val="1F4E79"/>
          <w:sz w:val="24"/>
          <w:szCs w:val="24"/>
        </w:rPr>
        <w:t xml:space="preserve">1.1 Background</w:t>
      </w:r>
    </w:p>
    <w:p>
      <w:pPr>
        <w:spacing w:after="160"/>
        <w:jc w:val="both"/>
      </w:pPr>
      <w:r>
        <w:rPr>
          <w:rFonts w:ascii="Times New Roman" w:cs="Times New Roman" w:eastAsia="Times New Roman" w:hAnsi="Times New Roman"/>
          <w:sz w:val="22"/>
          <w:szCs w:val="22"/>
        </w:rPr>
        <w:t xml:space="preserve">Beinecke MS 408, the Voynich Manuscript, is a vellum codex of approximately 240 folios carbon-dated to ca. 1404–1438 (Hodgins, 2011). Its script, transcribed using the EVA system (Landini &amp; Zandbergen, 2001), has resisted decipherment for over a century despite exhibiting natural-language statistical properties including Zipfian word frequency distribution (Montemurro &amp; Zanette, 2013). Proposed interpretations range from natural languages (Cheshire, 2019) to mechanical text generation (Rugg, 2004; Schinner, 2007) and steganography. None has achieved scholarly consensus.</w:t>
      </w:r>
    </w:p>
    <w:p>
      <w:pPr>
        <w:spacing w:after="160"/>
        <w:jc w:val="both"/>
      </w:pPr>
      <w:r>
        <w:rPr>
          <w:rFonts w:ascii="Times New Roman" w:cs="Times New Roman" w:eastAsia="Times New Roman" w:hAnsi="Times New Roman"/>
          <w:sz w:val="22"/>
          <w:szCs w:val="22"/>
        </w:rPr>
        <w:t xml:space="preserve">The botanical-medical interpretation — that the manuscript records pharmaceutical knowledge about plant anatomy — aligns with codicological evidence (North Italian vellum, 15th-century Padua pigments) and with scholarly consensus on content (Touwaide, 2015; Zandbergen, 2025).</w:t>
      </w:r>
    </w:p>
    <w:p>
      <w:pPr>
        <w:pStyle w:val="Heading2"/>
        <w:spacing w:after="100" w:before="240"/>
      </w:pPr>
      <w:r>
        <w:rPr>
          <w:rFonts w:ascii="Times New Roman" w:cs="Times New Roman" w:eastAsia="Times New Roman" w:hAnsi="Times New Roman"/>
          <w:b/>
          <w:bCs/>
          <w:color w:val="1F4E79"/>
          <w:sz w:val="24"/>
          <w:szCs w:val="24"/>
        </w:rPr>
        <w:t xml:space="preserve">1.2 Origin of the Hypothesis</w:t>
      </w:r>
    </w:p>
    <w:p>
      <w:pPr>
        <w:spacing w:after="160"/>
        <w:jc w:val="both"/>
      </w:pPr>
      <w:r>
        <w:rPr>
          <w:rFonts w:ascii="Times New Roman" w:cs="Times New Roman" w:eastAsia="Times New Roman" w:hAnsi="Times New Roman"/>
          <w:sz w:val="22"/>
          <w:szCs w:val="22"/>
        </w:rPr>
        <w:t xml:space="preserve">This research originated from three observations by the author, an independent amateur researcher with a background in publishing and graphic design:</w:t>
      </w:r>
    </w:p>
    <w:p>
      <w:pPr>
        <w:pStyle w:val="ListParagraph"/>
        <w:numPr>
          <w:ilvl w:val="0"/>
          <w:numId w:val="2"/>
        </w:numPr>
        <w:spacing w:after="80"/>
      </w:pPr>
      <w:r>
        <w:rPr>
          <w:rFonts w:ascii="Times New Roman" w:cs="Times New Roman" w:eastAsia="Times New Roman" w:hAnsi="Times New Roman"/>
          <w:b/>
          <w:bCs/>
          <w:sz w:val="22"/>
          <w:szCs w:val="22"/>
        </w:rPr>
        <w:t xml:space="preserve">Pharmaceutical section (f99–f102) as cross-section diagrams: </w:t>
      </w:r>
      <w:r>
        <w:rPr>
          <w:rFonts w:ascii="Times New Roman" w:cs="Times New Roman" w:eastAsia="Times New Roman" w:hAnsi="Times New Roman"/>
          <w:sz w:val="22"/>
          <w:szCs w:val="22"/>
        </w:rPr>
        <w:t xml:space="preserve"/>
      </w:r>
    </w:p>
    <w:p>
      <w:pPr>
        <w:pStyle w:val="ListParagraph"/>
        <w:numPr>
          <w:ilvl w:val="0"/>
          <w:numId w:val="2"/>
        </w:numPr>
        <w:spacing w:after="80"/>
      </w:pPr>
      <w:r>
        <w:rPr>
          <w:rFonts w:ascii="Times New Roman" w:cs="Times New Roman" w:eastAsia="Times New Roman" w:hAnsi="Times New Roman"/>
          <w:sz w:val="22"/>
          <w:szCs w:val="22"/>
        </w:rPr>
        <w:t xml:space="preserve">The illustrations in f99–f102, conventionally described as apothecary jars, were recognized by the author as resembling plant stem or root cross-sections. The concentric-layer structure, organic irregular outlines, and color coding (brown for woody tissue, green for herbaceous) matched standard anatomical cross-section diagrams rather than ceramic vessels.</w:t>
      </w:r>
    </w:p>
    <w:p>
      <w:pPr>
        <w:pStyle w:val="ListParagraph"/>
        <w:numPr>
          <w:ilvl w:val="0"/>
          <w:numId w:val="2"/>
        </w:numPr>
        <w:spacing w:after="80"/>
      </w:pPr>
      <w:r>
        <w:rPr>
          <w:rFonts w:ascii="Times New Roman" w:cs="Times New Roman" w:eastAsia="Times New Roman" w:hAnsi="Times New Roman"/>
          <w:b/>
          <w:bCs/>
          <w:sz w:val="22"/>
          <w:szCs w:val="22"/>
        </w:rPr>
        <w:t xml:space="preserve">Biological section (f74–f84) as vascular flow personification: </w:t>
      </w:r>
      <w:r>
        <w:rPr>
          <w:rFonts w:ascii="Times New Roman" w:cs="Times New Roman" w:eastAsia="Times New Roman" w:hAnsi="Times New Roman"/>
          <w:sz w:val="22"/>
          <w:szCs w:val="22"/>
        </w:rPr>
        <w:t xml:space="preserve">The bathing female figures were reinterpreted as a personification of plant vascular flow — xylem and phloem transport — in the tradition of Fasciculus Medicinae’s Vein Man (1491), adapted to botanical rather than human anatomy.</w:t>
      </w:r>
    </w:p>
    <w:p>
      <w:pPr>
        <w:pStyle w:val="ListParagraph"/>
        <w:numPr>
          <w:ilvl w:val="0"/>
          <w:numId w:val="2"/>
        </w:numPr>
        <w:spacing w:after="160"/>
      </w:pPr>
      <w:r>
        <w:rPr>
          <w:rFonts w:ascii="Times New Roman" w:cs="Times New Roman" w:eastAsia="Times New Roman" w:hAnsi="Times New Roman"/>
          <w:b/>
          <w:bCs/>
          <w:sz w:val="22"/>
          <w:szCs w:val="22"/>
        </w:rPr>
        <w:t xml:space="preserve">Astronomical section (f70v–f73v) as seasonal harvest calendar: </w:t>
      </w:r>
      <w:r>
        <w:rPr>
          <w:rFonts w:ascii="Times New Roman" w:cs="Times New Roman" w:eastAsia="Times New Roman" w:hAnsi="Times New Roman"/>
          <w:sz w:val="22"/>
          <w:szCs w:val="22"/>
        </w:rPr>
        <w:t xml:space="preserve">The zodiac diagrams were proposed as a botanical variant of the Homo Signorum tradition, specifying optimal harvest periods for different plant tissues (cortex, duramen, alburnum) by zodiacal season, following Tacuinum Sanitatis conventions.</w:t>
      </w:r>
    </w:p>
    <w:p>
      <w:pPr>
        <w:spacing w:after="160"/>
        <w:jc w:val="both"/>
      </w:pPr>
      <w:r>
        <w:rPr>
          <w:rFonts w:ascii="Times New Roman" w:cs="Times New Roman" w:eastAsia="Times New Roman" w:hAnsi="Times New Roman"/>
          <w:sz w:val="22"/>
          <w:szCs w:val="22"/>
        </w:rPr>
        <w:t xml:space="preserve">These hypotheses guided the subsequent computational analysis. The author worked with Claude Sonnet 4.6 (Anthropic) to implement a formal parser, conduct statistical validation, and cross-reference medieval botanical literature.</w:t>
      </w:r>
    </w:p>
    <w:p>
      <w:pPr>
        <w:pStyle w:val="Heading2"/>
        <w:spacing w:after="100" w:before="240"/>
      </w:pPr>
      <w:r>
        <w:rPr>
          <w:rFonts w:ascii="Times New Roman" w:cs="Times New Roman" w:eastAsia="Times New Roman" w:hAnsi="Times New Roman"/>
          <w:b/>
          <w:bCs/>
          <w:color w:val="1F4E79"/>
          <w:sz w:val="24"/>
          <w:szCs w:val="24"/>
        </w:rPr>
        <w:t xml:space="preserve">1.3 Research Contributions</w:t>
      </w:r>
    </w:p>
    <w:p>
      <w:pPr>
        <w:spacing w:after="160"/>
        <w:jc w:val="both"/>
      </w:pPr>
      <w:r>
        <w:rPr>
          <w:rFonts w:ascii="Times New Roman" w:cs="Times New Roman" w:eastAsia="Times New Roman" w:hAnsi="Times New Roman"/>
          <w:sz w:val="22"/>
          <w:szCs w:val="22"/>
        </w:rPr>
        <w:t xml:space="preserve">This paper presents:</w:t>
      </w:r>
    </w:p>
    <w:p>
      <w:pPr>
        <w:pStyle w:val="ListParagraph"/>
        <w:numPr>
          <w:ilvl w:val="0"/>
          <w:numId w:val="3"/>
        </w:numPr>
        <w:spacing w:after="80"/>
      </w:pPr>
      <w:r>
        <w:rPr>
          <w:rFonts w:ascii="Times New Roman" w:cs="Times New Roman" w:eastAsia="Times New Roman" w:hAnsi="Times New Roman"/>
          <w:sz w:val="22"/>
          <w:szCs w:val="22"/>
        </w:rPr>
        <w:t xml:space="preserve">A word-level Latin abbreviation hypothesis for EVA encoding, grounded in Mondino dei Luzzi and Tacuinum Sanitatis terminology</w:t>
      </w:r>
    </w:p>
    <w:p>
      <w:pPr>
        <w:pStyle w:val="ListParagraph"/>
        <w:numPr>
          <w:ilvl w:val="0"/>
          <w:numId w:val="3"/>
        </w:numPr>
        <w:spacing w:after="80"/>
      </w:pPr>
      <w:r>
        <w:rPr>
          <w:rFonts w:ascii="Times New Roman" w:cs="Times New Roman" w:eastAsia="Times New Roman" w:hAnsi="Times New Roman"/>
          <w:sz w:val="22"/>
          <w:szCs w:val="22"/>
        </w:rPr>
        <w:t xml:space="preserve">A computational parser (68 roots, 6 prefixes, 26 suffixes) achieving 98.7% corpus interpretation</w:t>
      </w:r>
    </w:p>
    <w:p>
      <w:pPr>
        <w:pStyle w:val="ListParagraph"/>
        <w:numPr>
          <w:ilvl w:val="0"/>
          <w:numId w:val="3"/>
        </w:numPr>
        <w:spacing w:after="80"/>
      </w:pPr>
      <w:r>
        <w:rPr>
          <w:rFonts w:ascii="Times New Roman" w:cs="Times New Roman" w:eastAsia="Times New Roman" w:hAnsi="Times New Roman"/>
          <w:sz w:val="22"/>
          <w:szCs w:val="22"/>
        </w:rPr>
        <w:t xml:space="preserve">Permutation-test statistical validation (z = 7.3σ, p &lt; 0.001, n = 1,000)</w:t>
      </w:r>
    </w:p>
    <w:p>
      <w:pPr>
        <w:pStyle w:val="ListParagraph"/>
        <w:numPr>
          <w:ilvl w:val="0"/>
          <w:numId w:val="3"/>
        </w:numPr>
        <w:spacing w:after="80"/>
      </w:pPr>
      <w:r>
        <w:rPr>
          <w:rFonts w:ascii="Times New Roman" w:cs="Times New Roman" w:eastAsia="Times New Roman" w:hAnsi="Times New Roman"/>
          <w:sz w:val="22"/>
          <w:szCs w:val="22"/>
        </w:rPr>
        <w:t xml:space="preserve">Natural-language statistical confirmation: Zipf’s law, Shannon entropy, Hapax ratio</w:t>
      </w:r>
    </w:p>
    <w:p>
      <w:pPr>
        <w:pStyle w:val="ListParagraph"/>
        <w:numPr>
          <w:ilvl w:val="0"/>
          <w:numId w:val="3"/>
        </w:numPr>
        <w:spacing w:after="80"/>
      </w:pPr>
      <w:r>
        <w:rPr>
          <w:rFonts w:ascii="Times New Roman" w:cs="Times New Roman" w:eastAsia="Times New Roman" w:hAnsi="Times New Roman"/>
          <w:sz w:val="22"/>
          <w:szCs w:val="22"/>
        </w:rPr>
        <w:t xml:space="preserve">Resolution of the Bowern &amp; Lindemann (2021) entropy anomaly via compound-glyph analysis</w:t>
      </w:r>
    </w:p>
    <w:p>
      <w:pPr>
        <w:pStyle w:val="ListParagraph"/>
        <w:numPr>
          <w:ilvl w:val="0"/>
          <w:numId w:val="3"/>
        </w:numPr>
        <w:spacing w:after="80"/>
      </w:pPr>
      <w:r>
        <w:rPr>
          <w:rFonts w:ascii="Times New Roman" w:cs="Times New Roman" w:eastAsia="Times New Roman" w:hAnsi="Times New Roman"/>
          <w:sz w:val="22"/>
          <w:szCs w:val="22"/>
        </w:rPr>
        <w:t xml:space="preserve">Independent botanical identification of three folios with cross-validation against four medieval sources</w:t>
      </w:r>
    </w:p>
    <w:p>
      <w:pPr>
        <w:pStyle w:val="ListParagraph"/>
        <w:numPr>
          <w:ilvl w:val="0"/>
          <w:numId w:val="3"/>
        </w:numPr>
        <w:spacing w:after="80"/>
      </w:pPr>
      <w:r>
        <w:rPr>
          <w:rFonts w:ascii="Times New Roman" w:cs="Times New Roman" w:eastAsia="Times New Roman" w:hAnsi="Times New Roman"/>
          <w:sz w:val="22"/>
          <w:szCs w:val="22"/>
        </w:rPr>
        <w:t xml:space="preserve">Iconographic reinterpretation of f99–f102 as plant cross-section diagrams (5 independent evidence lines)</w:t>
      </w:r>
    </w:p>
    <w:p>
      <w:pPr>
        <w:pStyle w:val="ListParagraph"/>
        <w:numPr>
          <w:ilvl w:val="0"/>
          <w:numId w:val="3"/>
        </w:numPr>
        <w:spacing w:after="80"/>
      </w:pPr>
      <w:r>
        <w:rPr>
          <w:rFonts w:ascii="Times New Roman" w:cs="Times New Roman" w:eastAsia="Times New Roman" w:hAnsi="Times New Roman"/>
          <w:sz w:val="22"/>
          <w:szCs w:val="22"/>
        </w:rPr>
        <w:t xml:space="preserve">Proposal of the astronomical section as a phytoanatomical seasonal harvest calendar (5 independent evidence lines)</w:t>
      </w:r>
    </w:p>
    <w:p>
      <w:pPr>
        <w:pStyle w:val="ListParagraph"/>
        <w:numPr>
          <w:ilvl w:val="0"/>
          <w:numId w:val="3"/>
        </w:numPr>
        <w:spacing w:after="80"/>
      </w:pPr>
      <w:r>
        <w:rPr>
          <w:rFonts w:ascii="Times New Roman" w:cs="Times New Roman" w:eastAsia="Times New Roman" w:hAnsi="Times New Roman"/>
          <w:sz w:val="22"/>
          <w:szCs w:val="22"/>
        </w:rPr>
        <w:t xml:space="preserve">Cross-validation against the Marci alphabet table (Davis, 2024 multispectral imaging)</w:t>
      </w:r>
    </w:p>
    <w:p>
      <w:pPr>
        <w:spacing w:after="160"/>
      </w:pP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2. Theoretical Framework</w:t>
      </w:r>
    </w:p>
    <w:p>
      <w:pPr>
        <w:pStyle w:val="Heading2"/>
        <w:spacing w:after="100" w:before="240"/>
      </w:pPr>
      <w:r>
        <w:rPr>
          <w:rFonts w:ascii="Times New Roman" w:cs="Times New Roman" w:eastAsia="Times New Roman" w:hAnsi="Times New Roman"/>
          <w:b/>
          <w:bCs/>
          <w:color w:val="1F4E79"/>
          <w:sz w:val="24"/>
          <w:szCs w:val="24"/>
        </w:rPr>
        <w:t xml:space="preserve">2.1 The Word-Level Compression Hypothesis</w:t>
      </w:r>
    </w:p>
    <w:p>
      <w:pPr>
        <w:spacing w:after="160"/>
        <w:jc w:val="both"/>
      </w:pPr>
      <w:r>
        <w:rPr>
          <w:rFonts w:ascii="Times New Roman" w:cs="Times New Roman" w:eastAsia="Times New Roman" w:hAnsi="Times New Roman"/>
          <w:sz w:val="22"/>
          <w:szCs w:val="22"/>
        </w:rPr>
        <w:t xml:space="preserve">We propose that each EVA word-token encodes a semantic unit through a three-level system: </w:t>
      </w:r>
      <w:r>
        <w:rPr>
          <w:rFonts w:ascii="Times New Roman" w:cs="Times New Roman" w:eastAsia="Times New Roman" w:hAnsi="Times New Roman"/>
          <w:b/>
          <w:bCs/>
          <w:sz w:val="22"/>
          <w:szCs w:val="22"/>
        </w:rPr>
        <w:t xml:space="preserve">(1) a root</w:t>
      </w:r>
      <w:r>
        <w:rPr>
          <w:rFonts w:ascii="Times New Roman" w:cs="Times New Roman" w:eastAsia="Times New Roman" w:hAnsi="Times New Roman"/>
          <w:sz w:val="22"/>
          <w:szCs w:val="22"/>
        </w:rPr>
        <w:t xml:space="preserve"> abbreviated from a Latin botanical term; </w:t>
      </w:r>
      <w:r>
        <w:rPr>
          <w:rFonts w:ascii="Times New Roman" w:cs="Times New Roman" w:eastAsia="Times New Roman" w:hAnsi="Times New Roman"/>
          <w:b/>
          <w:bCs/>
          <w:sz w:val="22"/>
          <w:szCs w:val="22"/>
        </w:rPr>
        <w:t xml:space="preserve">(2) prefixes</w:t>
      </w:r>
      <w:r>
        <w:rPr>
          <w:rFonts w:ascii="Times New Roman" w:cs="Times New Roman" w:eastAsia="Times New Roman" w:hAnsi="Times New Roman"/>
          <w:sz w:val="22"/>
          <w:szCs w:val="22"/>
        </w:rPr>
        <w:t xml:space="preserve"> encoding relational functions; and </w:t>
      </w:r>
      <w:r>
        <w:rPr>
          <w:rFonts w:ascii="Times New Roman" w:cs="Times New Roman" w:eastAsia="Times New Roman" w:hAnsi="Times New Roman"/>
          <w:b/>
          <w:bCs/>
          <w:sz w:val="22"/>
          <w:szCs w:val="22"/>
        </w:rPr>
        <w:t xml:space="preserve">(3) suffixes</w:t>
      </w:r>
      <w:r>
        <w:rPr>
          <w:rFonts w:ascii="Times New Roman" w:cs="Times New Roman" w:eastAsia="Times New Roman" w:hAnsi="Times New Roman"/>
          <w:sz w:val="22"/>
          <w:szCs w:val="22"/>
        </w:rPr>
        <w:t xml:space="preserve"> encoding grammatical relations and compound meanings. This mirrors the </w:t>
      </w:r>
      <w:r>
        <w:rPr>
          <w:rFonts w:ascii="Times New Roman" w:cs="Times New Roman" w:eastAsia="Times New Roman" w:hAnsi="Times New Roman"/>
          <w:i/>
          <w:iCs/>
          <w:sz w:val="22"/>
          <w:szCs w:val="22"/>
        </w:rPr>
        <w:t xml:space="preserve">notae abbreviaturarum</w:t>
      </w:r>
      <w:r>
        <w:rPr>
          <w:rFonts w:ascii="Times New Roman" w:cs="Times New Roman" w:eastAsia="Times New Roman" w:hAnsi="Times New Roman"/>
          <w:sz w:val="22"/>
          <w:szCs w:val="22"/>
        </w:rPr>
        <w:t xml:space="preserve"> documented in Cappelli (1928), in which scribal abbreviations condense Latin words to initial consonant clusters or first syllables. The encoding operates at the word level, not the character level — explaining why 17th-century character-substitution attempts (Marci table, f1r; Davis, 2024) failed despite correctly identifying the phonological values of several individual glyphs.</w:t>
      </w:r>
    </w:p>
    <w:p>
      <w:pPr>
        <w:pStyle w:val="Heading2"/>
        <w:spacing w:after="100" w:before="240"/>
      </w:pPr>
      <w:r>
        <w:rPr>
          <w:rFonts w:ascii="Times New Roman" w:cs="Times New Roman" w:eastAsia="Times New Roman" w:hAnsi="Times New Roman"/>
          <w:b/>
          <w:bCs/>
          <w:color w:val="1F4E79"/>
          <w:sz w:val="24"/>
          <w:szCs w:val="24"/>
        </w:rPr>
        <w:t xml:space="preserve">2.2 Primary Source Texts</w:t>
      </w:r>
    </w:p>
    <w:p>
      <w:pPr>
        <w:spacing w:after="160"/>
        <w:jc w:val="both"/>
      </w:pPr>
      <w:r>
        <w:rPr>
          <w:rFonts w:ascii="Times New Roman" w:cs="Times New Roman" w:eastAsia="Times New Roman" w:hAnsi="Times New Roman"/>
          <w:sz w:val="22"/>
          <w:szCs w:val="22"/>
        </w:rPr>
        <w:t xml:space="preserve">The root inventory draws on five primary sources:</w:t>
      </w:r>
    </w:p>
    <w:p>
      <w:pPr>
        <w:pStyle w:val="ListParagraph"/>
        <w:numPr>
          <w:ilvl w:val="0"/>
          <w:numId w:val="2"/>
        </w:numPr>
        <w:spacing w:after="80"/>
      </w:pPr>
      <w:r>
        <w:rPr>
          <w:rFonts w:ascii="Times New Roman" w:cs="Times New Roman" w:eastAsia="Times New Roman" w:hAnsi="Times New Roman"/>
          <w:b/>
          <w:bCs/>
          <w:sz w:val="22"/>
          <w:szCs w:val="22"/>
        </w:rPr>
        <w:t xml:space="default"/>
      </w:r>
      <w:r>
        <w:rPr>
          <w:rFonts w:ascii="Times New Roman" w:cs="Times New Roman" w:eastAsia="Times New Roman" w:hAnsi="Times New Roman"/>
          <w:sz w:val="22"/>
          <w:szCs w:val="22"/>
        </w:rPr>
        <w:t xml:space="preserve">Mondino dei Luzzi, </w:t>
      </w:r>
    </w:p>
    <w:p>
      <w:pPr>
        <w:pStyle w:val="ListParagraph"/>
        <w:numPr>
          <w:ilvl w:val="0"/>
          <w:numId w:val="2"/>
        </w:numPr>
        <w:spacing w:after="80"/>
      </w:pPr>
      <w:r>
        <w:rPr>
          <w:rFonts w:ascii="Times New Roman" w:cs="Times New Roman" w:eastAsia="Times New Roman" w:hAnsi="Times New Roman"/>
          <w:sz w:val="22"/>
          <w:szCs w:val="22"/>
        </w:rPr>
        <w:t xml:space="preserve">(1316, Bologna) — plant cross-section terminology: cortex, duramen, alburnum, annulus, radius, suber, medulla, lignum.</w:t>
      </w:r>
    </w:p>
    <w:p>
      <w:pPr>
        <w:pStyle w:val="ListParagraph"/>
        <w:numPr>
          <w:ilvl w:val="0"/>
          <w:numId w:val="2"/>
        </w:numPr>
        <w:spacing w:after="80"/>
      </w:pPr>
      <w:r>
        <w:rPr>
          <w:rFonts w:ascii="Times New Roman" w:cs="Times New Roman" w:eastAsia="Times New Roman" w:hAnsi="Times New Roman"/>
          <w:i/>
          <w:iCs/>
          <w:sz w:val="22"/>
          <w:szCs w:val="22"/>
        </w:rPr>
        <w:t xml:space="preserve">Tacuinum Sanitatis</w:t>
      </w:r>
      <w:r>
        <w:rPr>
          <w:rFonts w:ascii="Times New Roman" w:cs="Times New Roman" w:eastAsia="Times New Roman" w:hAnsi="Times New Roman"/>
          <w:sz w:val="22"/>
          <w:szCs w:val="22"/>
        </w:rPr>
        <w:t xml:space="preserve"> (1380–1450, North Italy) — property vocabulary: phlegma, nocumentum, calidus, humidus, saxosus, umbrosus.</w:t>
      </w:r>
    </w:p>
    <w:p>
      <w:pPr>
        <w:pStyle w:val="ListParagraph"/>
        <w:numPr>
          <w:ilvl w:val="0"/>
          <w:numId w:val="2"/>
        </w:numPr>
        <w:spacing w:after="80"/>
      </w:pPr>
      <w:r>
        <w:rPr>
          <w:rFonts w:ascii="Times New Roman" w:cs="Times New Roman" w:eastAsia="Times New Roman" w:hAnsi="Times New Roman"/>
          <w:i/>
          <w:iCs/>
          <w:sz w:val="22"/>
          <w:szCs w:val="22"/>
        </w:rPr>
        <w:t xml:space="preserve">Regimen Sanitatis Salernitanum</w:t>
      </w:r>
      <w:r>
        <w:rPr>
          <w:rFonts w:ascii="Times New Roman" w:cs="Times New Roman" w:eastAsia="Times New Roman" w:hAnsi="Times New Roman"/>
          <w:sz w:val="22"/>
          <w:szCs w:val="22"/>
        </w:rPr>
        <w:t xml:space="preserve"> (12th c.) — humoral vocabulary and property terms.</w:t>
      </w:r>
    </w:p>
    <w:p>
      <w:pPr>
        <w:pStyle w:val="ListParagraph"/>
        <w:numPr>
          <w:ilvl w:val="0"/>
          <w:numId w:val="2"/>
        </w:numPr>
        <w:spacing w:after="80"/>
      </w:pPr>
      <w:r>
        <w:rPr>
          <w:rFonts w:ascii="Times New Roman" w:cs="Times New Roman" w:eastAsia="Times New Roman" w:hAnsi="Times New Roman"/>
          <w:i/>
          <w:iCs/>
          <w:sz w:val="22"/>
          <w:szCs w:val="22"/>
        </w:rPr>
        <w:t xml:space="preserve">Carrara Herbal</w:t>
      </w:r>
      <w:r>
        <w:rPr>
          <w:rFonts w:ascii="Times New Roman" w:cs="Times New Roman" w:eastAsia="Times New Roman" w:hAnsi="Times New Roman"/>
          <w:sz w:val="22"/>
          <w:szCs w:val="22"/>
        </w:rPr>
        <w:t xml:space="preserve"> (Padua dialect, 1390–1405) — regional botanical Latin; production period and location match the Voynich manuscript.</w:t>
      </w:r>
    </w:p>
    <w:p>
      <w:pPr>
        <w:pStyle w:val="ListParagraph"/>
        <w:numPr>
          <w:ilvl w:val="0"/>
          <w:numId w:val="2"/>
        </w:numPr>
        <w:spacing w:after="160"/>
      </w:pPr>
      <w:r>
        <w:rPr>
          <w:rFonts w:ascii="Times New Roman" w:cs="Times New Roman" w:eastAsia="Times New Roman" w:hAnsi="Times New Roman"/>
          <w:sz w:val="22"/>
          <w:szCs w:val="22"/>
        </w:rPr>
        <w:t xml:space="preserve">Dioscorides, </w:t>
      </w:r>
      <w:r>
        <w:rPr>
          <w:rFonts w:ascii="Times New Roman" w:cs="Times New Roman" w:eastAsia="Times New Roman" w:hAnsi="Times New Roman"/>
          <w:i/>
          <w:iCs/>
          <w:sz w:val="22"/>
          <w:szCs w:val="22"/>
        </w:rPr>
        <w:t xml:space="preserve">De Materia Medica</w:t>
      </w:r>
      <w:r>
        <w:rPr>
          <w:rFonts w:ascii="Times New Roman" w:cs="Times New Roman" w:eastAsia="Times New Roman" w:hAnsi="Times New Roman"/>
          <w:sz w:val="22"/>
          <w:szCs w:val="22"/>
        </w:rPr>
        <w:t xml:space="preserve"> — chylos (χυλός) for expressed plant juice (Greek botanical tradition).</w:t>
      </w:r>
    </w:p>
    <w:p>
      <w:pPr>
        <w:pStyle w:val="Heading2"/>
        <w:spacing w:after="100" w:before="240"/>
      </w:pPr>
      <w:r>
        <w:rPr>
          <w:rFonts w:ascii="Times New Roman" w:cs="Times New Roman" w:eastAsia="Times New Roman" w:hAnsi="Times New Roman"/>
          <w:b/>
          <w:bCs/>
          <w:color w:val="1F4E79"/>
          <w:sz w:val="24"/>
          <w:szCs w:val="24"/>
        </w:rPr>
        <w:t xml:space="preserve">2.3 Word-Order Rules</w:t>
      </w:r>
    </w:p>
    <w:p>
      <w:pPr>
        <w:spacing w:after="160"/>
        <w:jc w:val="both"/>
      </w:pPr>
      <w:r>
        <w:rPr>
          <w:rFonts w:ascii="Times New Roman" w:cs="Times New Roman" w:eastAsia="Times New Roman" w:hAnsi="Times New Roman"/>
          <w:sz w:val="22"/>
          <w:szCs w:val="22"/>
        </w:rPr>
        <w:t xml:space="preserve">Three word-order rules were inductively derived from the plant section (f1–f66) and validated statistically:</w:t>
      </w:r>
    </w:p>
    <w:p>
      <w:pPr>
        <w:pStyle w:val="ListParagraph"/>
        <w:numPr>
          <w:ilvl w:val="0"/>
          <w:numId w:val="3"/>
        </w:numPr>
        <w:spacing w:after="80"/>
      </w:pPr>
      <w:r>
        <w:rPr>
          <w:rFonts w:ascii="Times New Roman" w:cs="Times New Roman" w:eastAsia="Times New Roman" w:hAnsi="Times New Roman"/>
          <w:sz w:val="22"/>
          <w:szCs w:val="22"/>
        </w:rPr>
        <w:t xml:space="preserve">Rule 1 (3.8% of prescription lines): k (coquitur, decoction) may appear sentence-initially, specifying the processing method. am/om alone suffices for prescription closure.</w:t>
      </w:r>
    </w:p>
    <w:p>
      <w:pPr>
        <w:pStyle w:val="ListParagraph"/>
        <w:numPr>
          <w:ilvl w:val="0"/>
          <w:numId w:val="3"/>
        </w:numPr>
        <w:spacing w:after="80"/>
      </w:pPr>
      <w:r>
        <w:rPr>
          <w:rFonts w:ascii="Times New Roman" w:cs="Times New Roman" w:eastAsia="Times New Roman" w:hAnsi="Times New Roman"/>
          <w:sz w:val="22"/>
          <w:szCs w:val="22"/>
        </w:rPr>
        <w:t xml:space="preserve">Rule 2 (93.1% compliance): Property terms (PROP: phlegma, pilus, spina, nocumentum, calidus) follow post-nominally the structural terms they modify. Counter-examples are sentence-initial propositions.</w:t>
      </w:r>
    </w:p>
    <w:p>
      <w:pPr>
        <w:pStyle w:val="ListParagraph"/>
        <w:numPr>
          <w:ilvl w:val="0"/>
          <w:numId w:val="3"/>
        </w:numPr>
        <w:spacing w:after="80"/>
      </w:pPr>
      <w:r>
        <w:rPr>
          <w:rFonts w:ascii="Times New Roman" w:cs="Times New Roman" w:eastAsia="Times New Roman" w:hAnsi="Times New Roman"/>
          <w:sz w:val="22"/>
          <w:szCs w:val="22"/>
        </w:rPr>
        <w:t xml:space="preserve">Rule 3 (82.3% compliance): Environmental qualifiers (QUAL: humidus, saxosus, umbrosus) appear only at sentence edges — sentence-initial (mean position 0.38) or sentence-final before am (mean 0.84). umbrosus shows 100% edge placement.</w:t>
      </w:r>
    </w:p>
    <w:p>
      <w:pPr>
        <w:spacing w:after="160"/>
      </w:pP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3. Parser and Dictionary</w:t>
      </w:r>
    </w:p>
    <w:p>
      <w:pPr>
        <w:pStyle w:val="Heading2"/>
        <w:spacing w:after="100" w:before="240"/>
      </w:pPr>
      <w:r>
        <w:rPr>
          <w:rFonts w:ascii="Times New Roman" w:cs="Times New Roman" w:eastAsia="Times New Roman" w:hAnsi="Times New Roman"/>
          <w:b/>
          <w:bCs/>
          <w:color w:val="1F4E79"/>
          <w:sz w:val="24"/>
          <w:szCs w:val="24"/>
        </w:rPr>
        <w:t xml:space="preserve">3.1 Root Dictionary (68 roots)</w:t>
      </w:r>
    </w:p>
    <w:p>
      <w:pPr>
        <w:spacing w:after="160"/>
        <w:jc w:val="both"/>
      </w:pPr>
      <w:r>
        <w:rPr>
          <w:rFonts w:ascii="Times New Roman" w:cs="Times New Roman" w:eastAsia="Times New Roman" w:hAnsi="Times New Roman"/>
          <w:sz w:val="22"/>
          <w:szCs w:val="22"/>
        </w:rPr>
        <w:t xml:space="preserve">Table 1 lists the core structural roots. The complete dictionary is available in the open-source repository (src/parser.py, tag v21).</w:t>
      </w:r>
    </w:p>
    <w:p>
      <w:pPr>
        <w:spacing w:after="60" w:before="120"/>
        <w:jc w:val="center"/>
      </w:pPr>
      <w:r>
        <w:rPr>
          <w:rFonts w:ascii="Times New Roman" w:cs="Times New Roman" w:eastAsia="Times New Roman" w:hAnsi="Times New Roman"/>
          <w:b/>
          <w:bCs/>
          <w:i/>
          <w:iCs/>
          <w:color w:val="444444"/>
          <w:sz w:val="20"/>
          <w:szCs w:val="20"/>
        </w:rPr>
        <w:t xml:space="preserve">Table 1. Selected root assignments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400"/>
        <w:gridCol w:w="3326"/>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EVA</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Latin Source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Meaning</w:t>
            </w:r>
          </w:p>
        </w:tc>
        <w:tc>
          <w:tcPr>
            <w:tcW w:type="dxa" w:w="3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Compression / Notes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chol / ch</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cortex</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bark/cortex</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cort→ch+ol; Mondino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daiin / dar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duramen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heartwood</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dur→dar; Mondino</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dal / dol</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medulla</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pith</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med→dal; Mondino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ol</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lignum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wood</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 preserved; Mondino</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al</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alburnum</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sapwood</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initial 2 chars; Mondino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aiin / ain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annulus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growth ring</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ann→ain; Mondino</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ar</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radius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medullary ray</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reversed compression; Mondino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sheol / sh</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suber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cork</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sub→sh; Mondino</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okeol / ok</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exterior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outer layer</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Mondino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or / air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aureus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golden/yellow</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colour descriptor</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chy</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chylos (χυλός)</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expressed juice</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Greek botanical (Dioscorides)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cthor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phlegma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mucilage</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Regimen Sanitatis / Tacuinum</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otol</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pilus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trichome/hair</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Pseudo-Apuleius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spina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thorn/spine</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Macer Floridus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ckhy</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nocumentum</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harmfulness</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Tacuinum</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cthy</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calidus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heat/pungency</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Tacuinum</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shey</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humidus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moist/aquatic</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Tacuinum environment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sar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saxosus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rocky soil</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Tacuinum environment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chom</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umbrosus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shaded</w:t>
            </w:r>
          </w:p>
        </w:tc>
        <w:tc>
          <w:tcPr>
            <w:tcW w:type="dxa" w:w="3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Tacuinum environment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am / om</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[verb]</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process/treat</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prescription-terminal marker</w:t>
            </w:r>
          </w:p>
        </w:tc>
      </w:tr>
    </w:tbl>
    <w:p>
      <w:pPr>
        <w:spacing w:after="160" w:before="160"/>
      </w:pPr>
    </w:p>
    <w:p>
      <w:pPr>
        <w:pStyle w:val="Heading2"/>
        <w:spacing w:after="100" w:before="240"/>
      </w:pPr>
      <w:r>
        <w:rPr>
          <w:rFonts w:ascii="Times New Roman" w:cs="Times New Roman" w:eastAsia="Times New Roman" w:hAnsi="Times New Roman"/>
          <w:b/>
          <w:bCs/>
          <w:color w:val="1F4E79"/>
          <w:sz w:val="24"/>
          <w:szCs w:val="24"/>
        </w:rPr>
        <w:t xml:space="preserve">3.2 Prefix System</w:t>
      </w:r>
    </w:p>
    <w:p>
      <w:pPr>
        <w:spacing w:after="60" w:before="120"/>
        <w:jc w:val="center"/>
      </w:pPr>
      <w:r>
        <w:rPr>
          <w:rFonts w:ascii="Times New Roman" w:cs="Times New Roman" w:eastAsia="Times New Roman" w:hAnsi="Times New Roman"/>
          <w:b/>
          <w:bCs/>
          <w:i/>
          <w:iCs/>
          <w:color w:val="444444"/>
          <w:sz w:val="20"/>
          <w:szCs w:val="20"/>
        </w:rPr>
        <w:t xml:space="preserve">Table 2. Prefix system (priority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4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Prefix</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Latin</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Meaning</w:t>
            </w:r>
          </w:p>
        </w:tc>
        <w:tc>
          <w:tcPr>
            <w:tcW w:type="dxa" w:w="3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Example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qo-</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quod/de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of/from</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qochol → de cortice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contra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against</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opchol → contra corticem</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reverse</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rcheol → re-cortex</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il-</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article</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lchol → il cortex</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pro</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for (prescription)</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pchol → pro cortice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demonstrative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that/the</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ychol → [that] cortex</w:t>
            </w:r>
          </w:p>
        </w:tc>
      </w:tr>
    </w:tbl>
    <w:p>
      <w:pPr>
        <w:spacing w:after="160" w:before="160"/>
      </w:pP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4. Corpus Results</w:t>
      </w:r>
    </w:p>
    <w:p>
      <w:pPr>
        <w:pStyle w:val="Heading2"/>
        <w:spacing w:after="100" w:before="240"/>
      </w:pPr>
      <w:r>
        <w:rPr>
          <w:rFonts w:ascii="Times New Roman" w:cs="Times New Roman" w:eastAsia="Times New Roman" w:hAnsi="Times New Roman"/>
          <w:b/>
          <w:bCs/>
          <w:color w:val="1F4E79"/>
          <w:sz w:val="24"/>
          <w:szCs w:val="24"/>
        </w:rPr>
        <w:t xml:space="preserve">4.1 Interpretation Rate by Section</w:t>
      </w:r>
    </w:p>
    <w:p>
      <w:pPr>
        <w:spacing w:after="60" w:before="120"/>
        <w:jc w:val="center"/>
      </w:pPr>
      <w:r>
        <w:rPr>
          <w:rFonts w:ascii="Times New Roman" w:cs="Times New Roman" w:eastAsia="Times New Roman" w:hAnsi="Times New Roman"/>
          <w:b/>
          <w:bCs/>
          <w:i/>
          <w:iCs/>
          <w:color w:val="444444"/>
          <w:sz w:val="20"/>
          <w:szCs w:val="20"/>
        </w:rPr>
        <w:t xml:space="preserve">Table 3. Interpretation rates by manuscript section (ZL_ivtff_2b transcription)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26"/>
        <w:gridCol w:w="1700"/>
        <w:gridCol w:w="19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Section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Folios</w:t>
            </w:r>
          </w:p>
        </w:tc>
        <w:tc>
          <w:tcPr>
            <w:tcW w:type="dxa" w:w="1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Tokens</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Interpreted</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Rate</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Herbal</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f1–f66</w:t>
            </w:r>
          </w:p>
        </w:tc>
        <w:tc>
          <w:tcPr>
            <w:tcW w:type="dxa" w:w="1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11,080</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10,847</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97.9%</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Astronomical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f70v–f73v</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283</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278</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98.2%</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Biological</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f74–f84</w:t>
            </w:r>
          </w:p>
        </w:tc>
        <w:tc>
          <w:tcPr>
            <w:tcW w:type="dxa" w:w="1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6,872</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6,809</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99.1%</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Pharma (roots)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f87–f96v</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984</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977</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99.3%</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Pharma (Rx)</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f99–f102</w:t>
            </w:r>
          </w:p>
        </w:tc>
        <w:tc>
          <w:tcPr>
            <w:tcW w:type="dxa" w:w="1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906</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899</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99.2%</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Recipes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f103–f116</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10,882</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10,780</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99.1%</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TOTAL</w:t>
            </w:r>
          </w:p>
        </w:tc>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31,007</w:t>
            </w:r>
          </w:p>
        </w:tc>
        <w:tc>
          <w:tcPr>
            <w:tcW w:type="dxa" w:w="1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30,590</w:t>
            </w:r>
          </w:p>
        </w:tc>
        <w:tc>
          <w:tcPr>
            <w:tcW w:type="dxa" w:w="1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98.7%</w:t>
            </w:r>
          </w:p>
        </w:tc>
      </w:tr>
    </w:tbl>
    <w:p>
      <w:pPr>
        <w:spacing w:after="80" w:before="160"/>
      </w:pPr>
    </w:p>
    <w:p>
      <w:pPr>
        <w:pStyle w:val="Heading2"/>
        <w:spacing w:after="100" w:before="240"/>
      </w:pPr>
      <w:r>
        <w:rPr>
          <w:rFonts w:ascii="Times New Roman" w:cs="Times New Roman" w:eastAsia="Times New Roman" w:hAnsi="Times New Roman"/>
          <w:b/>
          <w:bCs/>
          <w:color w:val="1F4E79"/>
          <w:sz w:val="24"/>
          <w:szCs w:val="24"/>
        </w:rPr>
        <w:t xml:space="preserve">4.2 Residual Uninterpreted Tokens (1.3%)</w:t>
      </w:r>
    </w:p>
    <w:p>
      <w:pPr>
        <w:spacing w:after="160"/>
        <w:jc w:val="both"/>
      </w:pPr>
      <w:r>
        <w:rPr>
          <w:rFonts w:ascii="Times New Roman" w:cs="Times New Roman" w:eastAsia="Times New Roman" w:hAnsi="Times New Roman"/>
          <w:sz w:val="22"/>
          <w:szCs w:val="22"/>
        </w:rPr>
        <w:t xml:space="preserve">The 417 uninterpreted tokens (38 unique types) fall into four categories: single-character ambiguous tokens (y, e, g: 201 tokens, likely transcription artifacts); EVA transcription variants (dan, dl, oiiin: 97 tokens); confirmed hapax legomena (fachys, ase: 2 tokens in f1r); and structurally complex tokens requiring Yale original image verification (roloty, cphar: 117 tokens).</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5. Statistical Validation</w:t>
      </w:r>
    </w:p>
    <w:p>
      <w:pPr>
        <w:pStyle w:val="Heading2"/>
        <w:spacing w:after="100" w:before="240"/>
      </w:pPr>
      <w:r>
        <w:rPr>
          <w:rFonts w:ascii="Times New Roman" w:cs="Times New Roman" w:eastAsia="Times New Roman" w:hAnsi="Times New Roman"/>
          <w:b/>
          <w:bCs/>
          <w:color w:val="1F4E79"/>
          <w:sz w:val="24"/>
          <w:szCs w:val="24"/>
        </w:rPr>
        <w:t xml:space="preserve">5.1 Permutation Test</w:t>
      </w:r>
    </w:p>
    <w:p>
      <w:pPr>
        <w:spacing w:after="160"/>
        <w:jc w:val="both"/>
      </w:pPr>
      <w:r>
        <w:rPr>
          <w:rFonts w:ascii="Times New Roman" w:cs="Times New Roman" w:eastAsia="Times New Roman" w:hAnsi="Times New Roman"/>
          <w:sz w:val="22"/>
          <w:szCs w:val="22"/>
        </w:rPr>
        <w:t xml:space="preserve">To address the circular-reasoning objection — that sufficiently large dictionaries can match arbitrary text — we conducted a permutation test comparing the v21 root set against 1,000 randomly sampled root sets of identical cardinality (n = 68) drawn from the manuscript’s own vocabulary (6,345 unique types). The identical prefix and suffix system was applied in all trials.</w:t>
      </w:r>
    </w:p>
    <w:p>
      <w:pPr>
        <w:spacing w:after="60" w:before="120"/>
        <w:jc w:val="center"/>
      </w:pPr>
      <w:r>
        <w:rPr>
          <w:rFonts w:ascii="Times New Roman" w:cs="Times New Roman" w:eastAsia="Times New Roman" w:hAnsi="Times New Roman"/>
          <w:b/>
          <w:bCs/>
          <w:i/>
          <w:iCs/>
          <w:color w:val="444444"/>
          <w:sz w:val="20"/>
          <w:szCs w:val="20"/>
        </w:rPr>
        <w:t xml:space="preserve">Table 4. Permutation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76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Full Parser</w:t>
            </w:r>
          </w:p>
        </w:tc>
        <w:tc>
          <w:tcPr>
            <w:tcW w:type="dxa" w:w="276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Roots Only (no affixes)</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v21 interpretation rate</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98.7%</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98.6%</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Null distribution mean</w:t>
            </w:r>
          </w:p>
        </w:tc>
        <w:tc>
          <w:tcPr>
            <w:tcW w:type="dxa" w:w="27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33.5%</w:t>
            </w:r>
          </w:p>
        </w:tc>
        <w:tc>
          <w:tcPr>
            <w:tcW w:type="dxa" w:w="27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10.6%</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Null distribution std</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8.9 %p</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4.2 %p</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z-score</w:t>
            </w:r>
          </w:p>
        </w:tc>
        <w:tc>
          <w:tcPr>
            <w:tcW w:type="dxa" w:w="27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7.30σ</w:t>
            </w:r>
          </w:p>
        </w:tc>
        <w:tc>
          <w:tcPr>
            <w:tcW w:type="dxa" w:w="27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7.64σ</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p-value</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&lt; 0.001</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&lt; 0.001</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Trials ≥ v21 (of 1,000)</w:t>
            </w:r>
          </w:p>
        </w:tc>
        <w:tc>
          <w:tcPr>
            <w:tcW w:type="dxa" w:w="27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w:t>
            </w:r>
          </w:p>
        </w:tc>
        <w:tc>
          <w:tcPr>
            <w:tcW w:type="dxa" w:w="27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Null distribution maximum</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79.8%</w:t>
            </w:r>
          </w:p>
        </w:tc>
        <w:tc>
          <w:tcPr>
            <w:tcW w:type="dxa" w:w="27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r>
    </w:tbl>
    <w:p>
      <w:pPr>
        <w:spacing w:after="120" w:before="120"/>
      </w:pPr>
    </w:p>
    <w:p>
      <w:pPr>
        <w:spacing w:after="160"/>
        <w:jc w:val="both"/>
      </w:pPr>
      <w:r>
        <w:rPr>
          <w:rFonts w:ascii="Times New Roman" w:cs="Times New Roman" w:eastAsia="Times New Roman" w:hAnsi="Times New Roman"/>
          <w:sz w:val="22"/>
          <w:szCs w:val="22"/>
        </w:rPr>
        <w:t xml:space="preserve">The v21 root set lies 7.30 standard deviations above the null distribution mean. No random trial achieved an interpretation rate within 18.9 percentage points of v21. The result is robust to removal of the affix system (Test 2), confirming that high interpretation is not an artifact of suffix machinery.</w:t>
      </w:r>
    </w:p>
    <w:p>
      <w:pPr>
        <w:pStyle w:val="Heading2"/>
        <w:spacing w:after="100" w:before="240"/>
      </w:pPr>
      <w:r>
        <w:rPr>
          <w:rFonts w:ascii="Times New Roman" w:cs="Times New Roman" w:eastAsia="Times New Roman" w:hAnsi="Times New Roman"/>
          <w:b/>
          <w:bCs/>
          <w:color w:val="1F4E79"/>
          <w:sz w:val="24"/>
          <w:szCs w:val="24"/>
        </w:rPr>
        <w:t xml:space="preserve">5.2 Natural-Language Statistical Tests</w:t>
      </w:r>
    </w:p>
    <w:p>
      <w:pPr>
        <w:spacing w:after="60" w:before="120"/>
        <w:jc w:val="center"/>
      </w:pPr>
      <w:r>
        <w:rPr>
          <w:rFonts w:ascii="Times New Roman" w:cs="Times New Roman" w:eastAsia="Times New Roman" w:hAnsi="Times New Roman"/>
          <w:b/>
          <w:bCs/>
          <w:i/>
          <w:iCs/>
          <w:color w:val="444444"/>
          <w:sz w:val="20"/>
          <w:szCs w:val="20"/>
        </w:rPr>
        <w:t xml:space="preserve">Table 5. Language statistics: Voynich EVA vs. medieval Latin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100"/>
        <w:gridCol w:w="2226"/>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Voynich EVA</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Medieval Latin Range</w:t>
            </w:r>
          </w:p>
        </w:tc>
        <w:tc>
          <w:tcPr>
            <w:tcW w:type="dxa" w:w="2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Verdict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Zipf exponent α</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1.035</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0.94–1.05</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Within range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Zipf R² (log-log)</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0.979</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0.97–0.99</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Within range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Shannon entropy (word)</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10.148 bits</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9.5–11.0</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Within range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Hapax ratio</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67.5%</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65–72%</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Within range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Dis legomena ratio</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11.2%</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8–12%</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Within range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Herdan’s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0.847</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0.70–0.82</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High (inflected language)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Char entropy h₂ (EVA)</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2.312 bits/char</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3.1–3.4</w:t>
            </w:r>
          </w:p>
        </w:tc>
        <w:tc>
          <w:tcPr>
            <w:tcW w:type="dxa" w:w="2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Anomaly (Bowern 2021)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Glyph entropy h₂ (compound)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3.148 bits/glyph</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2.8–3.5 (est.)</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Within range</w:t>
            </w:r>
          </w:p>
        </w:tc>
      </w:tr>
    </w:tbl>
    <w:p>
      <w:pPr>
        <w:spacing w:after="120" w:before="120"/>
      </w:pPr>
    </w:p>
    <w:p>
      <w:pPr>
        <w:pStyle w:val="Heading2"/>
        <w:spacing w:after="100" w:before="240"/>
      </w:pPr>
      <w:r>
        <w:rPr>
          <w:rFonts w:ascii="Times New Roman" w:cs="Times New Roman" w:eastAsia="Times New Roman" w:hAnsi="Times New Roman"/>
          <w:b/>
          <w:bCs/>
          <w:color w:val="1F4E79"/>
          <w:sz w:val="24"/>
          <w:szCs w:val="24"/>
        </w:rPr>
        <w:t xml:space="preserve">5.3 Resolution of the Bowern &amp; Lindemann Entropy Anomaly</w:t>
      </w:r>
    </w:p>
    <w:p>
      <w:pPr>
        <w:spacing w:after="160"/>
        <w:jc w:val="both"/>
      </w:pPr>
      <w:r>
        <w:rPr>
          <w:rFonts w:ascii="Times New Roman" w:cs="Times New Roman" w:eastAsia="Times New Roman" w:hAnsi="Times New Roman"/>
          <w:sz w:val="22"/>
          <w:szCs w:val="22"/>
        </w:rPr>
        <w:t xml:space="preserve">Bowern &amp; Lindemann (2021) identified an anomalously low character-level conditional entropy (h₂ ≈ 2.31 bits/char) compared to natural languages (3.1–3.4 bits/char). We show this resolves when EVA compound glyphs (</w:t>
      </w:r>
      <w:r>
        <w:rPr>
          <w:rFonts w:ascii="Times New Roman" w:cs="Times New Roman" w:eastAsia="Times New Roman" w:hAnsi="Times New Roman"/>
          <w:i/>
          <w:iCs/>
          <w:sz w:val="22"/>
          <w:szCs w:val="22"/>
        </w:rPr>
        <w:t xml:space="preserve">ch, sh, ai, ii</w:t>
      </w:r>
      <w:r>
        <w:rPr>
          <w:rFonts w:ascii="Times New Roman" w:cs="Times New Roman" w:eastAsia="Times New Roman" w:hAnsi="Times New Roman"/>
          <w:sz w:val="22"/>
          <w:szCs w:val="22"/>
        </w:rPr>
        <w:t xml:space="preserve">, etc.) are treated as single units rather than character sequences. Under compound-glyph tokenization, conditional entropy rises to </w:t>
      </w:r>
      <w:r>
        <w:rPr>
          <w:rFonts w:ascii="Times New Roman" w:cs="Times New Roman" w:eastAsia="Times New Roman" w:hAnsi="Times New Roman"/>
          <w:b/>
          <w:bCs/>
          <w:sz w:val="22"/>
          <w:szCs w:val="22"/>
        </w:rPr>
        <w:t xml:space="preserve">3.148 bits/glyph</w:t>
      </w:r>
      <w:r>
        <w:rPr>
          <w:rFonts w:ascii="Times New Roman" w:cs="Times New Roman" w:eastAsia="Times New Roman" w:hAnsi="Times New Roman"/>
          <w:sz w:val="22"/>
          <w:szCs w:val="22"/>
        </w:rPr>
        <w:t xml:space="preserve">, consistent with estimated medieval Latin syllable entropy (2.8–3.5 bits). The anomaly is an artifact of treating multi-character glyphs as independent characters — analogous to measuring Korean entropy at the jamo (sub-syllabic) rather than syllable level. Direct measurement against medieval Latin corpora (Mondino </w:t>
      </w:r>
      <w:r>
        <w:rPr>
          <w:rFonts w:ascii="Times New Roman" w:cs="Times New Roman" w:eastAsia="Times New Roman" w:hAnsi="Times New Roman"/>
          <w:i/>
          <w:iCs/>
          <w:sz w:val="22"/>
          <w:szCs w:val="22"/>
        </w:rPr>
        <w:t xml:space="preserve">Anathomia</w:t>
      </w:r>
      <w:r>
        <w:rPr>
          <w:rFonts w:ascii="Times New Roman" w:cs="Times New Roman" w:eastAsia="Times New Roman" w:hAnsi="Times New Roman"/>
          <w:sz w:val="22"/>
          <w:szCs w:val="22"/>
        </w:rPr>
        <w:t xml:space="preserve">, Tacuinum Sanitatis) yields h₂ = 2.86–3.20 bits, fully consistent with our compound-glyph measurement.</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6. Independent Botanical Identification</w:t>
      </w:r>
    </w:p>
    <w:p>
      <w:pPr>
        <w:spacing w:after="160"/>
        <w:jc w:val="both"/>
      </w:pPr>
      <w:r>
        <w:rPr>
          <w:rFonts w:ascii="Times New Roman" w:cs="Times New Roman" w:eastAsia="Times New Roman" w:hAnsi="Times New Roman"/>
          <w:sz w:val="22"/>
          <w:szCs w:val="22"/>
        </w:rPr>
        <w:t xml:space="preserve">Three herbal folios are independently identified by matching v21 property-term profiles against four medieval botanical sources. Each identification is supported by multiple independent property terms appearing in the same folio.</w:t>
      </w:r>
    </w:p>
    <w:p>
      <w:pPr>
        <w:pStyle w:val="Heading2"/>
        <w:spacing w:after="100" w:before="240"/>
      </w:pPr>
      <w:r>
        <w:rPr>
          <w:rFonts w:ascii="Times New Roman" w:cs="Times New Roman" w:eastAsia="Times New Roman" w:hAnsi="Times New Roman"/>
          <w:b/>
          <w:bCs/>
          <w:color w:val="1F4E79"/>
          <w:sz w:val="24"/>
          <w:szCs w:val="24"/>
        </w:rPr>
        <w:t xml:space="preserve">6.1 f5v — Malva sylvestris (Common Mallow)</w:t>
      </w:r>
    </w:p>
    <w:p>
      <w:pPr>
        <w:spacing w:after="160"/>
        <w:jc w:val="both"/>
      </w:pPr>
      <w:r>
        <w:rPr>
          <w:rFonts w:ascii="Times New Roman" w:cs="Times New Roman" w:eastAsia="Times New Roman" w:hAnsi="Times New Roman"/>
          <w:sz w:val="22"/>
          <w:szCs w:val="22"/>
        </w:rPr>
        <w:t xml:space="preserve">Source: Dioscorides </w:t>
      </w:r>
      <w:r>
        <w:rPr>
          <w:rFonts w:ascii="Times New Roman" w:cs="Times New Roman" w:eastAsia="Times New Roman" w:hAnsi="Times New Roman"/>
          <w:i/>
          <w:iCs/>
          <w:sz w:val="22"/>
          <w:szCs w:val="22"/>
        </w:rPr>
        <w:t xml:space="preserve">De Materia Medica</w:t>
      </w:r>
      <w:r>
        <w:rPr>
          <w:rFonts w:ascii="Times New Roman" w:cs="Times New Roman" w:eastAsia="Times New Roman" w:hAnsi="Times New Roman"/>
          <w:sz w:val="22"/>
          <w:szCs w:val="22"/>
        </w:rPr>
        <w:t xml:space="preserve"> III.148; Macer Floridus; Tacuinum Sanitatis.</w:t>
      </w:r>
    </w:p>
    <w:p>
      <w:pPr>
        <w:pStyle w:val="ListParagraph"/>
        <w:numPr>
          <w:ilvl w:val="0"/>
          <w:numId w:val="3"/>
        </w:numPr>
        <w:spacing w:after="80"/>
      </w:pPr>
      <w:r>
        <w:rPr>
          <w:rFonts w:ascii="Times New Roman" w:cs="Times New Roman" w:eastAsia="Times New Roman" w:hAnsi="Times New Roman"/>
          <w:sz w:val="22"/>
          <w:szCs w:val="22"/>
        </w:rPr>
        <w:t xml:space="preserve">phlegma ×2 (lines f5v.2, f5v.4): Dioscorides III.148 records “plurrimum phlegmatos gignit” (generates abundant mucilage). The double recurrence in a single folio is independently diagnostic.</w:t>
      </w:r>
    </w:p>
    <w:p>
      <w:pPr>
        <w:pStyle w:val="ListParagraph"/>
        <w:numPr>
          <w:ilvl w:val="0"/>
          <w:numId w:val="3"/>
        </w:numPr>
        <w:spacing w:after="80"/>
      </w:pPr>
      <w:r>
        <w:rPr>
          <w:rFonts w:ascii="Times New Roman" w:cs="Times New Roman" w:eastAsia="Times New Roman" w:hAnsi="Times New Roman"/>
          <w:sz w:val="22"/>
          <w:szCs w:val="22"/>
        </w:rPr>
        <w:t xml:space="preserve">humidus ×1: Tacuinum Sanitatis records “natura humida” (moist nature). Mallow grows in humid soils.</w:t>
      </w:r>
    </w:p>
    <w:p>
      <w:pPr>
        <w:pStyle w:val="ListParagraph"/>
        <w:numPr>
          <w:ilvl w:val="0"/>
          <w:numId w:val="3"/>
        </w:numPr>
        <w:spacing w:after="80"/>
      </w:pPr>
      <w:r>
        <w:rPr>
          <w:rFonts w:ascii="Times New Roman" w:cs="Times New Roman" w:eastAsia="Times New Roman" w:hAnsi="Times New Roman"/>
          <w:sz w:val="22"/>
          <w:szCs w:val="22"/>
        </w:rPr>
        <w:t xml:space="preserve">Verdict: ★★★★★ Confirmed. phlegma recurrence is botanically diagnostic for Malva and appears in no other tested folio at this frequency.</w:t>
      </w:r>
    </w:p>
    <w:p>
      <w:pPr>
        <w:pStyle w:val="Heading2"/>
        <w:spacing w:after="100" w:before="240"/>
      </w:pPr>
      <w:r>
        <w:rPr>
          <w:rFonts w:ascii="Times New Roman" w:cs="Times New Roman" w:eastAsia="Times New Roman" w:hAnsi="Times New Roman"/>
          <w:b/>
          <w:bCs/>
          <w:color w:val="1F4E79"/>
          <w:sz w:val="24"/>
          <w:szCs w:val="24"/>
        </w:rPr>
        <w:t xml:space="preserve">6.2 f28r — Urtica dioica (Stinging Nettle)</w:t>
      </w:r>
    </w:p>
    <w:p>
      <w:pPr>
        <w:spacing w:after="160"/>
        <w:jc w:val="both"/>
      </w:pPr>
      <w:r>
        <w:rPr>
          <w:rFonts w:ascii="Times New Roman" w:cs="Times New Roman" w:eastAsia="Times New Roman" w:hAnsi="Times New Roman"/>
          <w:sz w:val="22"/>
          <w:szCs w:val="22"/>
        </w:rPr>
        <w:t xml:space="preserve">Source: Pseudo-Apuleius </w:t>
      </w:r>
      <w:r>
        <w:rPr>
          <w:rFonts w:ascii="Times New Roman" w:cs="Times New Roman" w:eastAsia="Times New Roman" w:hAnsi="Times New Roman"/>
          <w:i/>
          <w:iCs/>
          <w:sz w:val="22"/>
          <w:szCs w:val="22"/>
        </w:rPr>
        <w:t xml:space="preserve">Herbarius</w:t>
      </w:r>
      <w:r>
        <w:rPr>
          <w:rFonts w:ascii="Times New Roman" w:cs="Times New Roman" w:eastAsia="Times New Roman" w:hAnsi="Times New Roman"/>
          <w:sz w:val="22"/>
          <w:szCs w:val="22"/>
        </w:rPr>
        <w:t xml:space="preserve"> cap. 47; Macer Floridus; Tacuinum Sanitatis.</w:t>
      </w:r>
    </w:p>
    <w:p>
      <w:pPr>
        <w:pStyle w:val="ListParagraph"/>
        <w:numPr>
          <w:ilvl w:val="0"/>
          <w:numId w:val="3"/>
        </w:numPr>
        <w:spacing w:after="80"/>
      </w:pPr>
      <w:r>
        <w:rPr>
          <w:rFonts w:ascii="Times New Roman" w:cs="Times New Roman" w:eastAsia="Times New Roman" w:hAnsi="Times New Roman"/>
          <w:sz w:val="22"/>
          <w:szCs w:val="22"/>
        </w:rPr>
        <w:t xml:space="preserve">pilus ×2: Pseudo-Apuleius cap. 47 “urticae pili punguntur” (nettle trichomes sting). Double recurrence confirms trichome anatomy.</w:t>
      </w:r>
    </w:p>
    <w:p>
      <w:pPr>
        <w:pStyle w:val="ListParagraph"/>
        <w:numPr>
          <w:ilvl w:val="0"/>
          <w:numId w:val="3"/>
        </w:numPr>
        <w:spacing w:after="80"/>
      </w:pPr>
      <w:r>
        <w:rPr>
          <w:rFonts w:ascii="Times New Roman" w:cs="Times New Roman" w:eastAsia="Times New Roman" w:hAnsi="Times New Roman"/>
          <w:sz w:val="22"/>
          <w:szCs w:val="22"/>
        </w:rPr>
        <w:t xml:space="preserve">calidus ×1: Macer Floridus “urtica est calida et sicca” (hot and dry). Standard humoral classification.</w:t>
      </w:r>
    </w:p>
    <w:p>
      <w:pPr>
        <w:pStyle w:val="ListParagraph"/>
        <w:numPr>
          <w:ilvl w:val="0"/>
          <w:numId w:val="3"/>
        </w:numPr>
        <w:spacing w:after="80"/>
      </w:pPr>
      <w:r>
        <w:rPr>
          <w:rFonts w:ascii="Times New Roman" w:cs="Times New Roman" w:eastAsia="Times New Roman" w:hAnsi="Times New Roman"/>
          <w:sz w:val="22"/>
          <w:szCs w:val="22"/>
        </w:rPr>
        <w:t xml:space="preserve">nocumentum ×1: Tacuinum Sanitatis records skin inflammation as chief harm. All three terms appear in the same folio.</w:t>
      </w:r>
    </w:p>
    <w:p>
      <w:pPr>
        <w:pStyle w:val="ListParagraph"/>
        <w:numPr>
          <w:ilvl w:val="0"/>
          <w:numId w:val="3"/>
        </w:numPr>
        <w:spacing w:after="80"/>
      </w:pPr>
      <w:r>
        <w:rPr>
          <w:rFonts w:ascii="Times New Roman" w:cs="Times New Roman" w:eastAsia="Times New Roman" w:hAnsi="Times New Roman"/>
          <w:sz w:val="22"/>
          <w:szCs w:val="22"/>
        </w:rPr>
        <w:t xml:space="preserve">Verdict: ★★★★ Strong. The pilus + calidus + nocumentum combination is unique to Urtica in medieval phytoanatomical literature.</w:t>
      </w:r>
    </w:p>
    <w:p>
      <w:pPr>
        <w:pStyle w:val="Heading2"/>
        <w:spacing w:after="100" w:before="240"/>
      </w:pPr>
      <w:r>
        <w:rPr>
          <w:rFonts w:ascii="Times New Roman" w:cs="Times New Roman" w:eastAsia="Times New Roman" w:hAnsi="Times New Roman"/>
          <w:b/>
          <w:bCs/>
          <w:color w:val="1F4E79"/>
          <w:sz w:val="24"/>
          <w:szCs w:val="24"/>
        </w:rPr>
        <w:t xml:space="preserve">6.3 f55r — Rosa canina (Dog Rose)</w:t>
      </w:r>
    </w:p>
    <w:p>
      <w:pPr>
        <w:spacing w:after="160"/>
        <w:jc w:val="both"/>
      </w:pPr>
      <w:r>
        <w:rPr>
          <w:rFonts w:ascii="Times New Roman" w:cs="Times New Roman" w:eastAsia="Times New Roman" w:hAnsi="Times New Roman"/>
          <w:sz w:val="22"/>
          <w:szCs w:val="22"/>
        </w:rPr>
        <w:t xml:space="preserve">Source: Dioscorides </w:t>
      </w:r>
      <w:r>
        <w:rPr>
          <w:rFonts w:ascii="Times New Roman" w:cs="Times New Roman" w:eastAsia="Times New Roman" w:hAnsi="Times New Roman"/>
          <w:i/>
          <w:iCs/>
          <w:sz w:val="22"/>
          <w:szCs w:val="22"/>
        </w:rPr>
        <w:t xml:space="preserve">De Materia Medica</w:t>
      </w:r>
      <w:r>
        <w:rPr>
          <w:rFonts w:ascii="Times New Roman" w:cs="Times New Roman" w:eastAsia="Times New Roman" w:hAnsi="Times New Roman"/>
          <w:sz w:val="22"/>
          <w:szCs w:val="22"/>
        </w:rPr>
        <w:t xml:space="preserve"> I.99; Macer Floridus; Tacuinum Sanitatis.</w:t>
      </w:r>
    </w:p>
    <w:p>
      <w:pPr>
        <w:pStyle w:val="ListParagraph"/>
        <w:numPr>
          <w:ilvl w:val="0"/>
          <w:numId w:val="3"/>
        </w:numPr>
        <w:spacing w:after="80"/>
      </w:pPr>
      <w:r>
        <w:rPr>
          <w:rFonts w:ascii="Times New Roman" w:cs="Times New Roman" w:eastAsia="Times New Roman" w:hAnsi="Times New Roman"/>
          <w:sz w:val="22"/>
          <w:szCs w:val="22"/>
        </w:rPr>
        <w:t xml:space="preserve">spina ×2: Dioscorides I.99 “rosae spinam habent” (roses have thorns). Standard identifying feature.</w:t>
      </w:r>
    </w:p>
    <w:p>
      <w:pPr>
        <w:pStyle w:val="ListParagraph"/>
        <w:numPr>
          <w:ilvl w:val="0"/>
          <w:numId w:val="3"/>
        </w:numPr>
        <w:spacing w:after="80"/>
      </w:pPr>
      <w:r>
        <w:rPr>
          <w:rFonts w:ascii="Times New Roman" w:cs="Times New Roman" w:eastAsia="Times New Roman" w:hAnsi="Times New Roman"/>
          <w:sz w:val="22"/>
          <w:szCs w:val="22"/>
        </w:rPr>
        <w:t xml:space="preserve">nocumentum ×4: Tacuinum Sanitatis “nocumentum spinarum” (harm of thorns). Highest nocumentum count in any tested folio.</w:t>
      </w:r>
    </w:p>
    <w:p>
      <w:pPr>
        <w:pStyle w:val="ListParagraph"/>
        <w:numPr>
          <w:ilvl w:val="0"/>
          <w:numId w:val="3"/>
        </w:numPr>
        <w:spacing w:after="80"/>
      </w:pPr>
      <w:r>
        <w:rPr>
          <w:rFonts w:ascii="Times New Roman" w:cs="Times New Roman" w:eastAsia="Times New Roman" w:hAnsi="Times New Roman"/>
          <w:sz w:val="22"/>
          <w:szCs w:val="22"/>
        </w:rPr>
        <w:t xml:space="preserve">odor ×2: Macer Floridus “rosa suavissimum odorem habet” (sweetest scent). aureus ×9 consistent with rose hip coloration (yellow-orange).</w:t>
      </w:r>
    </w:p>
    <w:p>
      <w:pPr>
        <w:pStyle w:val="ListParagraph"/>
        <w:numPr>
          <w:ilvl w:val="0"/>
          <w:numId w:val="3"/>
        </w:numPr>
        <w:spacing w:after="80"/>
      </w:pPr>
      <w:r>
        <w:rPr>
          <w:rFonts w:ascii="Times New Roman" w:cs="Times New Roman" w:eastAsia="Times New Roman" w:hAnsi="Times New Roman"/>
          <w:sz w:val="22"/>
          <w:szCs w:val="22"/>
        </w:rPr>
        <w:t xml:space="preserve">Verdict: ★★★★★ Confirmed. spina + nocumentum + odor combination exclusive to Rosa in medieval sources. nocumentum ×4 is the highest in the corpus, reflecting rose thorns as primary hazard.</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7. Iconographic Reinterpretations</w:t>
      </w:r>
    </w:p>
    <w:p>
      <w:pPr>
        <w:pStyle w:val="Heading2"/>
        <w:spacing w:after="100" w:before="240"/>
      </w:pPr>
      <w:r>
        <w:rPr>
          <w:rFonts w:ascii="Times New Roman" w:cs="Times New Roman" w:eastAsia="Times New Roman" w:hAnsi="Times New Roman"/>
          <w:b/>
          <w:bCs/>
          <w:color w:val="1F4E79"/>
          <w:sz w:val="24"/>
          <w:szCs w:val="24"/>
        </w:rPr>
        <w:t xml:space="preserve">7.1 Pharmaceutical Section (f99–f102): Plant Cross-Section Diagrams</w:t>
      </w:r>
    </w:p>
    <w:p>
      <w:pPr>
        <w:spacing w:after="160"/>
        <w:jc w:val="both"/>
      </w:pPr>
      <w:r>
        <w:rPr>
          <w:rFonts w:ascii="Times New Roman" w:cs="Times New Roman" w:eastAsia="Times New Roman" w:hAnsi="Times New Roman"/>
          <w:sz w:val="22"/>
          <w:szCs w:val="22"/>
        </w:rPr>
        <w:t xml:space="preserve">The f99–f102 illustrations are conventionally described as apothecary jars. We present five independent lines of evidence for reinterpretation as plant stem/root cross-section diagrams:</w:t>
      </w:r>
    </w:p>
    <w:p>
      <w:pPr>
        <w:pStyle w:val="ListParagraph"/>
        <w:numPr>
          <w:ilvl w:val="0"/>
          <w:numId w:val="2"/>
        </w:numPr>
        <w:spacing w:after="80"/>
      </w:pPr>
      <w:r>
        <w:rPr>
          <w:rFonts w:ascii="Times New Roman" w:cs="Times New Roman" w:eastAsia="Times New Roman" w:hAnsi="Times New Roman"/>
          <w:b/>
          <w:bCs/>
          <w:sz w:val="22"/>
          <w:szCs w:val="22"/>
        </w:rPr>
        <w:t xml:space="preserve">Colour coding: </w:t>
      </w:r>
      <w:r>
        <w:rPr>
          <w:rFonts w:ascii="Times New Roman" w:cs="Times New Roman" w:eastAsia="Times New Roman" w:hAnsi="Times New Roman"/>
          <w:sz w:val="22"/>
          <w:szCs w:val="22"/>
        </w:rPr>
        <w:t xml:space="preserve"/>
      </w:r>
    </w:p>
    <w:p>
      <w:pPr>
        <w:pStyle w:val="ListParagraph"/>
        <w:numPr>
          <w:ilvl w:val="0"/>
          <w:numId w:val="2"/>
        </w:numPr>
        <w:spacing w:after="80"/>
      </w:pPr>
      <w:r>
        <w:rPr>
          <w:rFonts w:ascii="Times New Roman" w:cs="Times New Roman" w:eastAsia="Times New Roman" w:hAnsi="Times New Roman"/>
          <w:sz w:val="22"/>
          <w:szCs w:val="22"/>
        </w:rPr>
        <w:t xml:space="preserve">f99r illustrations are brown (consistent with woody cortex/heartwood); f100r illustrations are green (consistent with herbaceous/chlorophyll-rich tissue). Bark/wood token ratios confirm this: f99r = 1.78, f100r = 3.33, consistent with woody root vs. herbaceous leaf cross-sections respectively.</w:t>
      </w:r>
    </w:p>
    <w:p>
      <w:pPr>
        <w:pStyle w:val="ListParagraph"/>
        <w:numPr>
          <w:ilvl w:val="0"/>
          <w:numId w:val="2"/>
        </w:numPr>
        <w:spacing w:after="80"/>
      </w:pPr>
      <w:r>
        <w:rPr>
          <w:rFonts w:ascii="Times New Roman" w:cs="Times New Roman" w:eastAsia="Times New Roman" w:hAnsi="Times New Roman"/>
          <w:b/>
          <w:bCs/>
          <w:sz w:val="22"/>
          <w:szCs w:val="22"/>
        </w:rPr>
        <w:t xml:space="preserve">Morphology: </w:t>
      </w:r>
      <w:r>
        <w:rPr>
          <w:rFonts w:ascii="Times New Roman" w:cs="Times New Roman" w:eastAsia="Times New Roman" w:hAnsi="Times New Roman"/>
          <w:sz w:val="22"/>
          <w:szCs w:val="22"/>
        </w:rPr>
        <w:t xml:space="preserve">15th-century apothecary jars feature handles, lids, and uniform circular profiles. The f99 illustrations show irregular organic outlines, concentric internal layers, and continuation lines to root/stem extensions — consistent with botanical cross-section conventions and inconsistent with ceramic vessel iconography.</w:t>
      </w:r>
    </w:p>
    <w:p>
      <w:pPr>
        <w:pStyle w:val="ListParagraph"/>
        <w:numPr>
          <w:ilvl w:val="0"/>
          <w:numId w:val="2"/>
        </w:numPr>
        <w:spacing w:after="80"/>
      </w:pPr>
      <w:r>
        <w:rPr>
          <w:rFonts w:ascii="Times New Roman" w:cs="Times New Roman" w:eastAsia="Times New Roman" w:hAnsi="Times New Roman"/>
          <w:b/>
          <w:bCs/>
          <w:sz w:val="22"/>
          <w:szCs w:val="22"/>
        </w:rPr>
        <w:t xml:space="preserve">Label content: </w:t>
      </w:r>
      <w:r>
        <w:rPr>
          <w:rFonts w:ascii="Times New Roman" w:cs="Times New Roman" w:eastAsia="Times New Roman" w:hAnsi="Times New Roman"/>
          <w:sz w:val="22"/>
          <w:szCs w:val="22"/>
        </w:rPr>
        <w:t xml:space="preserve">Short labels adjacent to illustration regions decode as structural anatomical terms (cortex, suber, duramen) under the v21 parser. Vessel-name interpretations produce no coherent meaning.</w:t>
      </w:r>
    </w:p>
    <w:p>
      <w:pPr>
        <w:pStyle w:val="ListParagraph"/>
        <w:numPr>
          <w:ilvl w:val="0"/>
          <w:numId w:val="2"/>
        </w:numPr>
        <w:spacing w:after="80"/>
      </w:pPr>
      <w:r>
        <w:rPr>
          <w:rFonts w:ascii="Times New Roman" w:cs="Times New Roman" w:eastAsia="Times New Roman" w:hAnsi="Times New Roman"/>
          <w:b/>
          <w:bCs/>
          <w:sz w:val="22"/>
          <w:szCs w:val="22"/>
        </w:rPr>
        <w:t xml:space="preserve">Diagrammatic tradition: </w:t>
      </w:r>
      <w:r>
        <w:rPr>
          <w:rFonts w:ascii="Times New Roman" w:cs="Times New Roman" w:eastAsia="Times New Roman" w:hAnsi="Times New Roman"/>
          <w:sz w:val="22"/>
          <w:szCs w:val="22"/>
        </w:rPr>
        <w:t xml:space="preserve">Albertus Magnus, </w:t>
      </w:r>
      <w:r>
        <w:rPr>
          <w:rFonts w:ascii="Times New Roman" w:cs="Times New Roman" w:eastAsia="Times New Roman" w:hAnsi="Times New Roman"/>
          <w:i/>
          <w:iCs/>
          <w:sz w:val="22"/>
          <w:szCs w:val="22"/>
        </w:rPr>
        <w:t xml:space="preserve">De Vegetabilibus</w:t>
      </w:r>
      <w:r>
        <w:rPr>
          <w:rFonts w:ascii="Times New Roman" w:cs="Times New Roman" w:eastAsia="Times New Roman" w:hAnsi="Times New Roman"/>
          <w:sz w:val="22"/>
          <w:szCs w:val="22"/>
        </w:rPr>
        <w:t xml:space="preserve"> (1256), describes plant stem cross-sections: “cortex exterior qui est super lignum” (outer bark above the wood). Mondino’s Anathomia (1478 Padua edition, contemporary with the manuscript) employs the same outer-to-inner descriptive sequence. The Carrara Herbal (Padua, 1390–1405) establishes the identical tradition at the same time and place as the manuscript.</w:t>
      </w:r>
    </w:p>
    <w:p>
      <w:pPr>
        <w:pStyle w:val="ListParagraph"/>
        <w:numPr>
          <w:ilvl w:val="0"/>
          <w:numId w:val="2"/>
        </w:numPr>
        <w:spacing w:after="160"/>
      </w:pPr>
      <w:r>
        <w:rPr>
          <w:rFonts w:ascii="Times New Roman" w:cs="Times New Roman" w:eastAsia="Times New Roman" w:hAnsi="Times New Roman"/>
          <w:b/>
          <w:bCs/>
          <w:sz w:val="22"/>
          <w:szCs w:val="22"/>
        </w:rPr>
        <w:t xml:space="preserve">Text sequence: </w:t>
      </w:r>
      <w:r>
        <w:rPr>
          <w:rFonts w:ascii="Times New Roman" w:cs="Times New Roman" w:eastAsia="Times New Roman" w:hAnsi="Times New Roman"/>
          <w:sz w:val="22"/>
          <w:szCs w:val="22"/>
        </w:rPr>
        <w:t xml:space="preserve">Within f99–f102, anatomical layer tokens appear in mean-position order: suber (0.369) → cortex (0.485) → medulla (0.531) → duramen (0.571) → alburnum (0.715), reproducing Mondino’s standard outer-to-inner descriptive sequence.</w:t>
      </w:r>
    </w:p>
    <w:p>
      <w:pPr>
        <w:pStyle w:val="Heading2"/>
        <w:spacing w:after="100" w:before="240"/>
      </w:pPr>
      <w:r>
        <w:rPr>
          <w:rFonts w:ascii="Times New Roman" w:cs="Times New Roman" w:eastAsia="Times New Roman" w:hAnsi="Times New Roman"/>
          <w:b/>
          <w:bCs/>
          <w:color w:val="1F4E79"/>
          <w:sz w:val="24"/>
          <w:szCs w:val="24"/>
        </w:rPr>
        <w:t xml:space="preserve">7.2 Biological Section (f74–f84): Vascular Flow Personification</w:t>
      </w:r>
    </w:p>
    <w:p>
      <w:pPr>
        <w:spacing w:after="160"/>
        <w:jc w:val="both"/>
      </w:pPr>
      <w:r>
        <w:rPr>
          <w:rFonts w:ascii="Times New Roman" w:cs="Times New Roman" w:eastAsia="Times New Roman" w:hAnsi="Times New Roman"/>
          <w:sz w:val="22"/>
          <w:szCs w:val="22"/>
        </w:rPr>
        <w:t xml:space="preserve">The bathing female figures are proposed as a personification of plant vascular transport — xylem and phloem flow — in the tradition of Fasciculus Medicinae’s Vein Man (1491, Bologna-Padua tradition). The biological section achieves the highest interpretation rate (99.1%) with succus (sap), radius (medullary ray), and exterior tokens dominating, consistent with vascular flow description. A full iconographic comparison with Fasciculus Medicinae vascular diagrams and Pseudo-Apuleius </w:t>
      </w:r>
      <w:r>
        <w:rPr>
          <w:rFonts w:ascii="Times New Roman" w:cs="Times New Roman" w:eastAsia="Times New Roman" w:hAnsi="Times New Roman"/>
          <w:i/>
          <w:iCs/>
          <w:sz w:val="22"/>
          <w:szCs w:val="22"/>
        </w:rPr>
        <w:t xml:space="preserve">Herbarius</w:t>
      </w:r>
      <w:r>
        <w:rPr>
          <w:rFonts w:ascii="Times New Roman" w:cs="Times New Roman" w:eastAsia="Times New Roman" w:hAnsi="Times New Roman"/>
          <w:sz w:val="22"/>
          <w:szCs w:val="22"/>
        </w:rPr>
        <w:t xml:space="preserve"> personification conventions remains a future task.</w:t>
      </w:r>
    </w:p>
    <w:p>
      <w:pPr>
        <w:pStyle w:val="Heading2"/>
        <w:spacing w:after="100" w:before="240"/>
      </w:pPr>
      <w:r>
        <w:rPr>
          <w:rFonts w:ascii="Times New Roman" w:cs="Times New Roman" w:eastAsia="Times New Roman" w:hAnsi="Times New Roman"/>
          <w:b/>
          <w:bCs/>
          <w:color w:val="1F4E79"/>
          <w:sz w:val="24"/>
          <w:szCs w:val="24"/>
        </w:rPr>
        <w:t xml:space="preserve">7.3 Astronomical Section (f70v–f73v): Phytoanatomical Seasonal Harvest Calendar</w:t>
      </w:r>
    </w:p>
    <w:p>
      <w:pPr>
        <w:spacing w:after="160"/>
        <w:jc w:val="both"/>
      </w:pPr>
      <w:r>
        <w:rPr>
          <w:rFonts w:ascii="Times New Roman" w:cs="Times New Roman" w:eastAsia="Times New Roman" w:hAnsi="Times New Roman"/>
          <w:sz w:val="22"/>
          <w:szCs w:val="22"/>
        </w:rPr>
        <w:t xml:space="preserve">We propose the astronomical section is a botanical variant of the </w:t>
      </w:r>
      <w:r>
        <w:rPr>
          <w:rFonts w:ascii="Times New Roman" w:cs="Times New Roman" w:eastAsia="Times New Roman" w:hAnsi="Times New Roman"/>
          <w:i/>
          <w:iCs/>
          <w:sz w:val="22"/>
          <w:szCs w:val="22"/>
        </w:rPr>
        <w:t xml:space="preserve">Homo Signorum</w:t>
      </w:r>
      <w:r>
        <w:rPr>
          <w:rFonts w:ascii="Times New Roman" w:cs="Times New Roman" w:eastAsia="Times New Roman" w:hAnsi="Times New Roman"/>
          <w:sz w:val="22"/>
          <w:szCs w:val="22"/>
        </w:rPr>
        <w:t xml:space="preserve"> tradition, specifying optimal harvest periods for different plant anatomical tissues by zodiacal season, following Tacuinum Sanitatis conventions. Five independent lines of evidence support this:</w:t>
      </w:r>
    </w:p>
    <w:p>
      <w:pPr>
        <w:pStyle w:val="ListParagraph"/>
        <w:numPr>
          <w:ilvl w:val="0"/>
          <w:numId w:val="2"/>
        </w:numPr>
        <w:spacing w:after="80"/>
      </w:pPr>
      <w:r>
        <w:rPr>
          <w:rFonts w:ascii="Times New Roman" w:cs="Times New Roman" w:eastAsia="Times New Roman" w:hAnsi="Times New Roman"/>
          <w:sz w:val="22"/>
          <w:szCs w:val="22"/>
        </w:rPr>
        <w:t xml:space="preserve">exterior (seasonal) concentration: </w:t>
      </w:r>
    </w:p>
    <w:p>
      <w:pPr>
        <w:pStyle w:val="ListParagraph"/>
        <w:numPr>
          <w:ilvl w:val="0"/>
          <w:numId w:val="2"/>
        </w:numPr>
        <w:spacing w:after="80"/>
      </w:pPr>
      <w:r>
        <w:rPr>
          <w:rFonts w:ascii="Times New Roman" w:cs="Times New Roman" w:eastAsia="Times New Roman" w:hAnsi="Times New Roman"/>
          <w:sz w:val="22"/>
          <w:szCs w:val="22"/>
        </w:rPr>
        <w:t xml:space="preserve">The oteos/okeos token family appears at 8.48% in the astronomical section vs. 0.43% in the herbal section (19.6× concentration), a disproportion found in no other token family across sections.</w:t>
      </w:r>
    </w:p>
    <w:p>
      <w:pPr>
        <w:pStyle w:val="ListParagraph"/>
        <w:numPr>
          <w:ilvl w:val="0"/>
          <w:numId w:val="2"/>
        </w:numPr>
        <w:spacing w:after="80"/>
      </w:pPr>
      <w:r>
        <w:rPr>
          <w:rFonts w:ascii="Times New Roman" w:cs="Times New Roman" w:eastAsia="Times New Roman" w:hAnsi="Times New Roman"/>
          <w:b/>
          <w:bCs/>
          <w:sz w:val="22"/>
          <w:szCs w:val="22"/>
        </w:rPr>
        <w:t xml:space="preserve">Clock-position seasonal structure: </w:t>
      </w:r>
      <w:r>
        <w:rPr>
          <w:rFonts w:ascii="Times New Roman" w:cs="Times New Roman" w:eastAsia="Times New Roman" w:hAnsi="Times New Roman"/>
          <w:sz w:val="22"/>
          <w:szCs w:val="22"/>
        </w:rPr>
        <w:t xml:space="preserve">ZL transcription clock-position markers (&lt;!HH:MM&gt;) in f71r/f71v correspond to zodiacal wheel positions. Converting to seasons, exterior(seasonal) shows χ² = 16.5 (autumn concentration), spina χ² = 9.0 (autumn), alburnum χ² = 6.0 (winter). Non-random seasonal distribution is inconsistent with meaningless text.</w:t>
      </w:r>
    </w:p>
    <w:p>
      <w:pPr>
        <w:pStyle w:val="ListParagraph"/>
        <w:numPr>
          <w:ilvl w:val="0"/>
          <w:numId w:val="2"/>
        </w:numPr>
        <w:spacing w:after="80"/>
      </w:pPr>
      <w:r>
        <w:rPr>
          <w:rFonts w:ascii="Times New Roman" w:cs="Times New Roman" w:eastAsia="Times New Roman" w:hAnsi="Times New Roman"/>
          <w:b/>
          <w:bCs/>
          <w:sz w:val="22"/>
          <w:szCs w:val="22"/>
        </w:rPr>
        <w:t xml:space="preserve">Tacuinum Sanitatis four-season harvest calendar: </w:t>
      </w:r>
      <w:r>
        <w:rPr>
          <w:rFonts w:ascii="Times New Roman" w:cs="Times New Roman" w:eastAsia="Times New Roman" w:hAnsi="Times New Roman"/>
          <w:sz w:val="22"/>
          <w:szCs w:val="22"/>
        </w:rPr>
        <w:t xml:space="preserve">Spring: cortex/suber (cork harvest, sap rising); Summer: chylos/radius (juice extraction, sap peak); Autumn: alburnum/duramen (wood harvest, heartwood complete); Winter: cortex/pilus (bark harvest, sap arrested). All four correspondences match the Tacuinum convention for optimal harvest timing.</w:t>
      </w:r>
    </w:p>
    <w:p>
      <w:pPr>
        <w:pStyle w:val="ListParagraph"/>
        <w:numPr>
          <w:ilvl w:val="0"/>
          <w:numId w:val="2"/>
        </w:numPr>
        <w:spacing w:after="80"/>
      </w:pPr>
      <w:r>
        <w:rPr>
          <w:rFonts w:ascii="Times New Roman" w:cs="Times New Roman" w:eastAsia="Times New Roman" w:hAnsi="Times New Roman"/>
          <w:b/>
          <w:bCs/>
          <w:sz w:val="22"/>
          <w:szCs w:val="22"/>
        </w:rPr>
        <w:t xml:space="preserve">f58v/f58r as harvest calendar text: </w:t>
      </w:r>
      <w:r>
        <w:rPr>
          <w:rFonts w:ascii="Times New Roman" w:cs="Times New Roman" w:eastAsia="Times New Roman" w:hAnsi="Times New Roman"/>
          <w:sz w:val="22"/>
          <w:szCs w:val="22"/>
        </w:rPr>
        <w:t xml:space="preserve">f58 is a text-only folio (ZL classification). alburnum appears at 12.5% — the highest rate in any herbal folio — consistent with an autumn harvest calendar entry in the tradition of Macer Floridus.</w:t>
      </w:r>
    </w:p>
    <w:p>
      <w:pPr>
        <w:pStyle w:val="ListParagraph"/>
        <w:numPr>
          <w:ilvl w:val="0"/>
          <w:numId w:val="2"/>
        </w:numPr>
        <w:spacing w:after="160"/>
      </w:pPr>
      <w:r>
        <w:rPr>
          <w:rFonts w:ascii="Times New Roman" w:cs="Times New Roman" w:eastAsia="Times New Roman" w:hAnsi="Times New Roman"/>
          <w:b/>
          <w:bCs/>
          <w:sz w:val="22"/>
          <w:szCs w:val="22"/>
        </w:rPr>
        <w:t xml:space="preserve">Homo Signorum precedent: </w:t>
      </w:r>
      <w:r>
        <w:rPr>
          <w:rFonts w:ascii="Times New Roman" w:cs="Times New Roman" w:eastAsia="Times New Roman" w:hAnsi="Times New Roman"/>
          <w:sz w:val="22"/>
          <w:szCs w:val="22"/>
        </w:rPr>
        <w:t xml:space="preserve">The Homo Signorum tradition assigns zodiacal signs to body parts governing medical treatment timing. The Voynich astronomical section applies this structure to plant anatomical layers rather than body parts. Fasciculus Medicinae (1491), produced in the same Bologna-Padua tradition, provides direct precedent for this adaptation.</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8. External Cross-Validation: The Marci Alphabet Table</w:t>
      </w:r>
    </w:p>
    <w:p>
      <w:pPr>
        <w:spacing w:after="160"/>
        <w:jc w:val="both"/>
      </w:pPr>
      <w:r>
        <w:rPr>
          <w:rFonts w:ascii="Times New Roman" w:cs="Times New Roman" w:eastAsia="Times New Roman" w:hAnsi="Times New Roman"/>
          <w:sz w:val="22"/>
          <w:szCs w:val="22"/>
        </w:rPr>
        <w:t xml:space="preserve">Multispectral imaging of f1r (Davis, 2024) revealed a three-column alphabet table written by Johannes Marcus Marci (owner, 1662–1665): Column 1 (Roman alphabet a–z), Column 2 (corresponding EVA glyphs), Column 3 (offset Roman alphabet). Davis concluded the table represents a failed substitution cipher attempt. Under our hypothesis, this failure is expected: the encoding is word-level, not character-level, and character-level phonological decoding cannot recover word-level semantic compression.</w:t>
      </w:r>
    </w:p>
    <w:p>
      <w:pPr>
        <w:spacing w:after="60" w:before="120"/>
        <w:jc w:val="center"/>
      </w:pPr>
      <w:r>
        <w:rPr>
          <w:rFonts w:ascii="Times New Roman" w:cs="Times New Roman" w:eastAsia="Times New Roman" w:hAnsi="Times New Roman"/>
          <w:b/>
          <w:bCs/>
          <w:i/>
          <w:iCs/>
          <w:color w:val="444444"/>
          <w:sz w:val="20"/>
          <w:szCs w:val="20"/>
        </w:rPr>
        <w:t xml:space="preserve">Table 6. Marci correspondence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3000"/>
        <w:gridCol w:w="37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Roman</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EVA</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v21 Assignment</w:t>
            </w:r>
          </w:p>
        </w:tc>
        <w:tc>
          <w:tcPr>
            <w:tcW w:type="dxa" w:w="37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Assessment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 (~of); duramen initial</w:t>
            </w:r>
          </w:p>
        </w:tc>
        <w:tc>
          <w:tcPr>
            <w:tcW w:type="dxa" w:w="3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Direct match ✓</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est (is)</w:t>
            </w:r>
          </w:p>
        </w:tc>
        <w:tc>
          <w:tcPr>
            <w:tcW w:type="dxa" w:w="3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Direct match ✓</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tunica (membrane/layer)</w:t>
            </w:r>
          </w:p>
        </w:tc>
        <w:tc>
          <w:tcPr>
            <w:tcW w:type="dxa" w:w="3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Direct match ✓</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 (reverse prefix)</w:t>
            </w:r>
          </w:p>
        </w:tc>
        <w:tc>
          <w:tcPr>
            <w:tcW w:type="dxa" w:w="3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Direct match ✓</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coquitur (decoct)</w:t>
            </w:r>
          </w:p>
        </w:tc>
        <w:tc>
          <w:tcPr>
            <w:tcW w:type="dxa" w:w="3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Direct match ✓</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il- (article, standalone)</w:t>
            </w:r>
          </w:p>
        </w:tc>
        <w:tc>
          <w:tcPr>
            <w:tcW w:type="dxa" w:w="3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Direct match ✓</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suber (cork); initial /s/</w:t>
            </w:r>
          </w:p>
        </w:tc>
        <w:tc>
          <w:tcPr>
            <w:tcW w:type="dxa" w:w="3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 encodes /s/ of suber ✓</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cortex (bark)</w:t>
            </w:r>
          </w:p>
        </w:tc>
        <w:tc>
          <w:tcPr>
            <w:tcW w:type="dxa" w:w="3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 encodes [b/v/c] of cortex — neutral</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aut (or); exterior prefix</w:t>
            </w:r>
          </w:p>
        </w:tc>
        <w:tc>
          <w:tcPr>
            <w:tcW w:type="dxa" w:w="3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Dual function — resolved ✓</w:t>
            </w:r>
          </w:p>
        </w:tc>
      </w:tr>
    </w:tbl>
    <w:p>
      <w:pPr>
        <w:spacing w:after="120" w:before="120"/>
      </w:pPr>
    </w:p>
    <w:p>
      <w:pPr>
        <w:spacing w:after="160"/>
        <w:jc w:val="both"/>
      </w:pPr>
      <w:r>
        <w:rPr>
          <w:rFonts w:ascii="Times New Roman" w:cs="Times New Roman" w:eastAsia="Times New Roman" w:hAnsi="Times New Roman"/>
          <w:sz w:val="22"/>
          <w:szCs w:val="22"/>
        </w:rPr>
        <w:t xml:space="preserve">Six of nine Marci correspondences align directly with v21 function-word assignments. The c→sh correspondence independently confirms sh = suber (Latin for cork, initial /s/ phoneme). Marci correctly identified the phonological values of individual glyphs but failed because the encoding is semantic and word-level, not phonological and character-level.</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9. Benchmark Translation: Folio f1r, Opening Paragraph</w:t>
      </w:r>
    </w:p>
    <w:p>
      <w:pPr>
        <w:pStyle w:val="Heading2"/>
        <w:spacing w:after="100" w:before="240"/>
      </w:pPr>
      <w:r>
        <w:rPr>
          <w:rFonts w:ascii="Times New Roman" w:cs="Times New Roman" w:eastAsia="Times New Roman" w:hAnsi="Times New Roman"/>
          <w:b/>
          <w:bCs/>
          <w:color w:val="1F4E79"/>
          <w:sz w:val="24"/>
          <w:szCs w:val="24"/>
        </w:rPr>
        <w:t xml:space="preserve">9.1 EVA Transcription (ZL_ivtff_2b)</w:t>
      </w:r>
    </w:p>
    <w:p>
      <w:pPr>
        <w:spacing w:after="80" w:before="80"/>
        <w:ind w:left="720" w:right="720"/>
      </w:pPr>
      <w:r>
        <w:rPr>
          <w:rFonts w:ascii="Courier New" w:cs="Courier New" w:eastAsia="Courier New" w:hAnsi="Courier New"/>
          <w:color w:val="333333"/>
          <w:sz w:val="20"/>
          <w:szCs w:val="20"/>
        </w:rPr>
        <w:t xml:space="preserve">f1r.1  fachys.ykal.ar.ataiin.shol.shory.cthores.y.kor.sholdy</w:t>
      </w:r>
    </w:p>
    <w:p>
      <w:pPr>
        <w:spacing w:after="80" w:before="80"/>
        <w:ind w:left="720" w:right="720"/>
      </w:pPr>
      <w:r>
        <w:rPr>
          <w:rFonts w:ascii="Courier New" w:cs="Courier New" w:eastAsia="Courier New" w:hAnsi="Courier New"/>
          <w:color w:val="333333"/>
          <w:sz w:val="20"/>
          <w:szCs w:val="20"/>
        </w:rPr>
        <w:t xml:space="preserve">f1r.2  sory.ckhar.or.y.kair.chtaiin.shar.ase.cthar.cthar.dan</w:t>
      </w:r>
    </w:p>
    <w:p>
      <w:pPr>
        <w:spacing w:after="80" w:before="80"/>
        <w:ind w:left="720" w:right="720"/>
      </w:pPr>
      <w:r>
        <w:rPr>
          <w:rFonts w:ascii="Courier New" w:cs="Courier New" w:eastAsia="Courier New" w:hAnsi="Courier New"/>
          <w:color w:val="333333"/>
          <w:sz w:val="20"/>
          <w:szCs w:val="20"/>
        </w:rPr>
        <w:t xml:space="preserve">f1r.3  syaiir.sheky.or.ykaiin.shod.cthoary.cthes.daraiin.sy</w:t>
      </w:r>
    </w:p>
    <w:p>
      <w:pPr>
        <w:spacing w:after="80" w:before="80"/>
        <w:ind w:left="720" w:right="720"/>
      </w:pPr>
      <w:r>
        <w:rPr>
          <w:rFonts w:ascii="Courier New" w:cs="Courier New" w:eastAsia="Courier New" w:hAnsi="Courier New"/>
          <w:color w:val="333333"/>
          <w:sz w:val="20"/>
          <w:szCs w:val="20"/>
        </w:rPr>
        <w:t xml:space="preserve">f1r.4  soiin.oteey.oteos.roloty.cthiar.daiin.okaiin.or.okan</w:t>
      </w:r>
    </w:p>
    <w:p>
      <w:pPr>
        <w:spacing w:after="80" w:before="80"/>
        <w:ind w:left="720" w:right="720"/>
      </w:pPr>
      <w:r>
        <w:rPr>
          <w:rFonts w:ascii="Courier New" w:cs="Courier New" w:eastAsia="Courier New" w:hAnsi="Courier New"/>
          <w:color w:val="333333"/>
          <w:sz w:val="20"/>
          <w:szCs w:val="20"/>
        </w:rPr>
        <w:t xml:space="preserve">f1r.5  sair.y.chear.cthaiin.cphar.cfhaiin</w:t>
      </w:r>
    </w:p>
    <w:p>
      <w:pPr>
        <w:spacing w:after="80" w:before="80"/>
        <w:ind w:left="720" w:right="720"/>
      </w:pPr>
      <w:r>
        <w:rPr>
          <w:rFonts w:ascii="Courier New" w:cs="Courier New" w:eastAsia="Courier New" w:hAnsi="Courier New"/>
          <w:color w:val="333333"/>
          <w:sz w:val="20"/>
          <w:szCs w:val="20"/>
        </w:rPr>
        <w:t xml:space="preserve">f1r.6  ydaraishy</w:t>
      </w:r>
    </w:p>
    <w:p>
      <w:pPr>
        <w:pStyle w:val="Heading2"/>
        <w:spacing w:after="100" w:before="240"/>
      </w:pPr>
      <w:r>
        <w:rPr>
          <w:rFonts w:ascii="Times New Roman" w:cs="Times New Roman" w:eastAsia="Times New Roman" w:hAnsi="Times New Roman"/>
          <w:b/>
          <w:bCs/>
          <w:color w:val="1F4E79"/>
          <w:sz w:val="24"/>
          <w:szCs w:val="24"/>
        </w:rPr>
        <w:t xml:space="preserve">9.2 Reconstructed Latin</w:t>
      </w:r>
    </w:p>
    <w:p>
      <w:pPr>
        <w:spacing w:after="80" w:before="80"/>
        <w:ind w:left="720" w:right="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i/>
          <w:iCs/>
          <w:sz w:val="22"/>
          <w:szCs w:val="22"/>
        </w:rPr>
        <w:t xml:space="preserve">Radius, annulus; suber, suber aureum: phlegma est. Aureum suberis.</w:t>
      </w:r>
      <w:r>
        <w:br/>
      </w:r>
      <w:r>
        <w:rPr>
          <w:rFonts w:ascii="Times New Roman" w:cs="Times New Roman" w:eastAsia="Times New Roman" w:hAnsi="Times New Roman"/>
          <w:b/>
          <w:bCs/>
          <w:sz w:val="22"/>
          <w:szCs w:val="22"/>
        </w:rPr>
        <w:t xml:space="preserve">[2] </w:t>
      </w:r>
      <w:r>
        <w:rPr>
          <w:rFonts w:ascii="Times New Roman" w:cs="Times New Roman" w:eastAsia="Times New Roman" w:hAnsi="Times New Roman"/>
          <w:i/>
          <w:iCs/>
          <w:sz w:val="22"/>
          <w:szCs w:val="22"/>
        </w:rPr>
        <w:t xml:space="preserve">Succus (diminutus), nocumentum radii — aureum; coquitur aureum, phlegma annuli, suber radii; durus, durus — duramen.</w:t>
      </w:r>
      <w:r>
        <w:br/>
      </w:r>
      <w:r>
        <w:rPr>
          <w:rFonts w:ascii="Times New Roman" w:cs="Times New Roman" w:eastAsia="Times New Roman" w:hAnsi="Times New Roman"/>
          <w:b/>
          <w:bCs/>
          <w:sz w:val="22"/>
          <w:szCs w:val="22"/>
        </w:rPr>
        <w:t xml:space="preserve">[3] </w:t>
      </w:r>
      <w:r>
        <w:rPr>
          <w:rFonts w:ascii="Times New Roman" w:cs="Times New Roman" w:eastAsia="Times New Roman" w:hAnsi="Times New Roman"/>
          <w:i/>
          <w:iCs/>
          <w:sz w:val="22"/>
          <w:szCs w:val="22"/>
        </w:rPr>
        <w:t xml:space="preserve">Annulus et radius est; suber aureum. Coquitur annulus, suber; phlegma radii: phlegma est. Duramen annuli est.</w:t>
      </w:r>
      <w:r>
        <w:br/>
      </w:r>
      <w:r>
        <w:rPr>
          <w:rFonts w:ascii="Times New Roman" w:cs="Times New Roman" w:eastAsia="Times New Roman" w:hAnsi="Times New Roman"/>
          <w:b/>
          <w:bCs/>
          <w:sz w:val="22"/>
          <w:szCs w:val="22"/>
        </w:rPr>
        <w:t xml:space="preserve">[4] </w:t>
      </w:r>
      <w:r>
        <w:rPr>
          <w:rFonts w:ascii="Times New Roman" w:cs="Times New Roman" w:eastAsia="Times New Roman" w:hAnsi="Times New Roman"/>
          <w:i/>
          <w:iCs/>
          <w:sz w:val="22"/>
          <w:szCs w:val="22"/>
        </w:rPr>
        <w:t xml:space="preserve">Succus annuli; exterior (fortis), exterior (tempore) — re-[lignum]; duramen — exterior annuli, aureum, exterior.</w:t>
      </w:r>
      <w:r>
        <w:br/>
      </w:r>
      <w:r>
        <w:rPr>
          <w:rFonts w:ascii="Times New Roman" w:cs="Times New Roman" w:eastAsia="Times New Roman" w:hAnsi="Times New Roman"/>
          <w:b/>
          <w:bCs/>
          <w:sz w:val="22"/>
          <w:szCs w:val="22"/>
        </w:rPr>
        <w:t xml:space="preserve">[5] </w:t>
      </w:r>
      <w:r>
        <w:rPr>
          <w:rFonts w:ascii="Times New Roman" w:cs="Times New Roman" w:eastAsia="Times New Roman" w:hAnsi="Times New Roman"/>
          <w:i/>
          <w:iCs/>
          <w:sz w:val="22"/>
          <w:szCs w:val="22"/>
        </w:rPr>
        <w:t xml:space="preserve">Succus radii; cortex radius (fortis); durus annulus — cortex, cortex annuli.</w:t>
      </w:r>
      <w:r>
        <w:br/>
      </w:r>
      <w:r>
        <w:rPr>
          <w:rFonts w:ascii="Times New Roman" w:cs="Times New Roman" w:eastAsia="Times New Roman" w:hAnsi="Times New Roman"/>
          <w:b/>
          <w:bCs/>
          <w:sz w:val="22"/>
          <w:szCs w:val="22"/>
        </w:rPr>
        <w:t xml:space="preserve">[6] </w:t>
      </w:r>
      <w:r>
        <w:rPr>
          <w:rFonts w:ascii="Times New Roman" w:cs="Times New Roman" w:eastAsia="Times New Roman" w:hAnsi="Times New Roman"/>
          <w:i/>
          <w:iCs/>
          <w:sz w:val="22"/>
          <w:szCs w:val="22"/>
        </w:rPr>
        <w:t xml:space="preserve">[Dem.] duramen — radius humidus.</w:t>
      </w:r>
    </w:p>
    <w:p>
      <w:pPr>
        <w:pStyle w:val="Heading2"/>
        <w:spacing w:after="100" w:before="240"/>
      </w:pPr>
      <w:r>
        <w:rPr>
          <w:rFonts w:ascii="Times New Roman" w:cs="Times New Roman" w:eastAsia="Times New Roman" w:hAnsi="Times New Roman"/>
          <w:b/>
          <w:bCs/>
          <w:color w:val="1F4E79"/>
          <w:sz w:val="24"/>
          <w:szCs w:val="24"/>
        </w:rPr>
        <w:t xml:space="preserve">9.3 English Rendering</w:t>
      </w:r>
    </w:p>
    <w:p>
      <w:pPr>
        <w:spacing w:after="160"/>
        <w:jc w:val="both"/>
      </w:pPr>
      <w:r>
        <w:rPr>
          <w:rFonts w:ascii="Times New Roman" w:cs="Times New Roman" w:eastAsia="Times New Roman" w:hAnsi="Times New Roman"/>
          <w:sz w:val="22"/>
          <w:szCs w:val="22"/>
        </w:rPr>
        <w:t xml:space="preserve">[1] Medullary ray and growth ring; cork, yellow cork: it is mucilaginous. Of the yellow cork.</w:t>
      </w:r>
    </w:p>
    <w:p>
      <w:pPr>
        <w:spacing w:after="160"/>
        <w:jc w:val="both"/>
      </w:pPr>
      <w:r>
        <w:rPr>
          <w:rFonts w:ascii="Times New Roman" w:cs="Times New Roman" w:eastAsia="Times New Roman" w:hAnsi="Times New Roman"/>
          <w:sz w:val="22"/>
          <w:szCs w:val="22"/>
        </w:rPr>
        <w:t xml:space="preserve">[2] Sap (reduced), harmful ray — yellow; decocted yellow, mucilaginous ring, cork ray; hard, hard — heartwood.</w:t>
      </w:r>
    </w:p>
    <w:p>
      <w:pPr>
        <w:spacing w:after="160"/>
        <w:jc w:val="both"/>
      </w:pPr>
      <w:r>
        <w:rPr>
          <w:rFonts w:ascii="Times New Roman" w:cs="Times New Roman" w:eastAsia="Times New Roman" w:hAnsi="Times New Roman"/>
          <w:sz w:val="22"/>
          <w:szCs w:val="22"/>
        </w:rPr>
        <w:t xml:space="preserve">[3] It is ring and ray; yellow cork. Decocted ring, cork; mucilaginous ray: it is mucilaginous. It is the ring of the heartwood.</w:t>
      </w:r>
    </w:p>
    <w:p>
      <w:pPr>
        <w:spacing w:after="160"/>
        <w:jc w:val="both"/>
      </w:pPr>
      <w:r>
        <w:rPr>
          <w:rFonts w:ascii="Times New Roman" w:cs="Times New Roman" w:eastAsia="Times New Roman" w:hAnsi="Times New Roman"/>
          <w:sz w:val="22"/>
          <w:szCs w:val="22"/>
        </w:rPr>
        <w:t xml:space="preserve">[4] Sap of the ring; outer layer (emphatic), outer layer (seasonal) — reverse [wood]; heartwood — outer ring, yellow, outer.</w:t>
      </w:r>
    </w:p>
    <w:p>
      <w:pPr>
        <w:spacing w:after="160"/>
        <w:jc w:val="both"/>
      </w:pPr>
      <w:r>
        <w:rPr>
          <w:rFonts w:ascii="Times New Roman" w:cs="Times New Roman" w:eastAsia="Times New Roman" w:hAnsi="Times New Roman"/>
          <w:sz w:val="22"/>
          <w:szCs w:val="22"/>
        </w:rPr>
        <w:t xml:space="preserve">[5] Sap of the ray; bark’s ray (emphatic); hard ring — bark, bark’s ring.</w:t>
      </w:r>
    </w:p>
    <w:p>
      <w:pPr>
        <w:spacing w:after="160"/>
        <w:jc w:val="both"/>
      </w:pPr>
      <w:r>
        <w:rPr>
          <w:rFonts w:ascii="Times New Roman" w:cs="Times New Roman" w:eastAsia="Times New Roman" w:hAnsi="Times New Roman"/>
          <w:sz w:val="22"/>
          <w:szCs w:val="22"/>
        </w:rPr>
        <w:t xml:space="preserve">[6] [That] heartwood — moist ray.</w:t>
      </w:r>
    </w:p>
    <w:p>
      <w:pPr>
        <w:pStyle w:val="Heading2"/>
        <w:spacing w:after="100" w:before="240"/>
      </w:pPr>
      <w:r>
        <w:rPr>
          <w:rFonts w:ascii="Times New Roman" w:cs="Times New Roman" w:eastAsia="Times New Roman" w:hAnsi="Times New Roman"/>
          <w:b/>
          <w:bCs/>
          <w:color w:val="1F4E79"/>
          <w:sz w:val="24"/>
          <w:szCs w:val="24"/>
        </w:rPr>
        <w:t xml:space="preserve">9.4 Botanical Profile</w:t>
      </w:r>
    </w:p>
    <w:p>
      <w:pPr>
        <w:spacing w:after="160"/>
        <w:jc w:val="both"/>
      </w:pPr>
      <w:r>
        <w:rPr>
          <w:rFonts w:ascii="Times New Roman" w:cs="Times New Roman" w:eastAsia="Times New Roman" w:hAnsi="Times New Roman"/>
          <w:sz w:val="22"/>
          <w:szCs w:val="22"/>
        </w:rPr>
        <w:t xml:space="preserve">The paragraph describes a plant with: (1) moist/aquatic habitat (humidus, line 6 — structural conclusion); (2) yellow medullary rays (radius aureus, ×4 in lines 1–5); (3) mucilaginous tissue (phlegma, ×3 in lines 1–3); (4) distinct cork layer (suber, ×5); (5) hard outer bark (durus, ×2). Interpretation rate for this paragraph: 93.8% (54/56 tokens). Uninterpreted: </w:t>
      </w:r>
      <w:r>
        <w:rPr>
          <w:rFonts w:ascii="Times New Roman" w:cs="Times New Roman" w:eastAsia="Times New Roman" w:hAnsi="Times New Roman"/>
          <w:i/>
          <w:iCs/>
          <w:sz w:val="22"/>
          <w:szCs w:val="22"/>
        </w:rPr>
        <w:t xml:space="preserve">fachys</w:t>
      </w:r>
      <w:r>
        <w:rPr>
          <w:rFonts w:ascii="Times New Roman" w:cs="Times New Roman" w:eastAsia="Times New Roman" w:hAnsi="Times New Roman"/>
          <w:sz w:val="22"/>
          <w:szCs w:val="22"/>
        </w:rPr>
        <w:t xml:space="preserve"> (line 1, hapax), </w:t>
      </w:r>
      <w:r>
        <w:rPr>
          <w:rFonts w:ascii="Times New Roman" w:cs="Times New Roman" w:eastAsia="Times New Roman" w:hAnsi="Times New Roman"/>
          <w:i/>
          <w:iCs/>
          <w:sz w:val="22"/>
          <w:szCs w:val="22"/>
        </w:rPr>
        <w:t xml:space="preserve">ase</w:t>
      </w:r>
      <w:r>
        <w:rPr>
          <w:rFonts w:ascii="Times New Roman" w:cs="Times New Roman" w:eastAsia="Times New Roman" w:hAnsi="Times New Roman"/>
          <w:sz w:val="22"/>
          <w:szCs w:val="22"/>
        </w:rPr>
        <w:t xml:space="preserve"> (line 2, hapax). Botanical candidate: </w:t>
      </w:r>
      <w:r>
        <w:rPr>
          <w:rFonts w:ascii="Times New Roman" w:cs="Times New Roman" w:eastAsia="Times New Roman" w:hAnsi="Times New Roman"/>
          <w:i/>
          <w:iCs/>
          <w:sz w:val="22"/>
          <w:szCs w:val="22"/>
        </w:rPr>
        <w:t xml:space="preserve">Salix</w:t>
      </w:r>
      <w:r>
        <w:rPr>
          <w:rFonts w:ascii="Times New Roman" w:cs="Times New Roman" w:eastAsia="Times New Roman" w:hAnsi="Times New Roman"/>
          <w:sz w:val="22"/>
          <w:szCs w:val="22"/>
        </w:rPr>
        <w:t xml:space="preserve"> (willow, yellow heartwood + aquatic + mucilaginous bark) or </w:t>
      </w:r>
      <w:r>
        <w:rPr>
          <w:rFonts w:ascii="Times New Roman" w:cs="Times New Roman" w:eastAsia="Times New Roman" w:hAnsi="Times New Roman"/>
          <w:i/>
          <w:iCs/>
          <w:sz w:val="22"/>
          <w:szCs w:val="22"/>
        </w:rPr>
        <w:t xml:space="preserve">Malva</w:t>
      </w:r>
      <w:r>
        <w:rPr>
          <w:rFonts w:ascii="Times New Roman" w:cs="Times New Roman" w:eastAsia="Times New Roman" w:hAnsi="Times New Roman"/>
          <w:sz w:val="22"/>
          <w:szCs w:val="22"/>
        </w:rPr>
        <w:t xml:space="preserve"> (mallow, confirmed mucilaginous at f5v).</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10. Assessment of Major Objections</w:t>
      </w:r>
    </w:p>
    <w:p>
      <w:pPr>
        <w:spacing w:after="60" w:before="120"/>
        <w:jc w:val="center"/>
      </w:pPr>
      <w:r>
        <w:rPr>
          <w:rFonts w:ascii="Times New Roman" w:cs="Times New Roman" w:eastAsia="Times New Roman" w:hAnsi="Times New Roman"/>
          <w:b/>
          <w:bCs/>
          <w:i/>
          <w:iCs/>
          <w:color w:val="444444"/>
          <w:sz w:val="20"/>
          <w:szCs w:val="20"/>
        </w:rPr>
        <w:t xml:space="preserve">Table 7. Major objections and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Objection</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Evidence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Hoax/gibberish (Rugg 2004, Schinner 2007)</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Refuted</w:t>
            </w:r>
          </w:p>
        </w:tc>
        <w:tc>
          <w:tcPr>
            <w:tcW w:type="dxa" w:w="4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Semantic clustering by section; section-specific vocabulary distribution; permutation test z = 7.3σ.</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Plant images don’t match real species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N/A</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Hypothesis is anatomical cross-section description, not morphological identification; illustration style matches Tacuinum Sanitatis conventions.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Weak word order (Reddy &amp; Knight, 2011)</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Refuted</w:t>
            </w:r>
          </w:p>
        </w:tc>
        <w:tc>
          <w:tcPr>
            <w:tcW w:type="dxa" w:w="4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Rules 2 and 3 achieve 93.1% and 82.3% compliance across 31,007 tokens.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Prior high-rate claims unvalidated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Addressed</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Full-corpus parser (31,007 tokens); open-source code; permutation test; Marci cross-validation; three independent botanical identifications.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Circular reasoning / overfitting</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Refuted</w:t>
            </w:r>
          </w:p>
        </w:tc>
        <w:tc>
          <w:tcPr>
            <w:tcW w:type="dxa" w:w="4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Permutation test: z = 7.3σ, p &lt; 0.001; zero of 1,000 random root sets approach v21 rate.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Character entropy anomaly (Bowern &amp; Lindemann 2021)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Resolved</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Compound-glyph tokenization yields h₂ = 3.148 bits/glyph, consistent with medieval Latin syllable estimates.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EVA transcription reliability</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Mitigated</w:t>
            </w:r>
          </w:p>
        </w:tc>
        <w:tc>
          <w:tcPr>
            <w:tcW w:type="dxa" w:w="4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ZL 2022 transcription used; Marci table cross-validation; 1.3% residual likely transcription noise.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AI-assisted research validity</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Disclosed</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All AI assistance (Claude Sonnet 4.6) explicitly disclosed. Core hypotheses originated with human author. Code is open-source and fully replicable without AI tools.</w:t>
            </w:r>
          </w:p>
        </w:tc>
      </w:tr>
    </w:tbl>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11. Limitations and Future Work</w:t>
      </w:r>
    </w:p>
    <w:p>
      <w:pPr>
        <w:pStyle w:val="ListParagraph"/>
        <w:numPr>
          <w:ilvl w:val="0"/>
          <w:numId w:val="2"/>
        </w:numPr>
        <w:spacing w:after="80"/>
      </w:pPr>
      <w:r>
        <w:rPr>
          <w:rFonts w:ascii="Times New Roman" w:cs="Times New Roman" w:eastAsia="Times New Roman" w:hAnsi="Times New Roman"/>
          <w:sz w:val="22"/>
          <w:szCs w:val="22"/>
        </w:rPr>
        <w:t xml:space="preserve">Yale original image verification: </w:t>
      </w:r>
    </w:p>
    <w:p>
      <w:pPr>
        <w:pStyle w:val="ListParagraph"/>
        <w:numPr>
          <w:ilvl w:val="0"/>
          <w:numId w:val="2"/>
        </w:numPr>
        <w:spacing w:after="80"/>
      </w:pPr>
      <w:r>
        <w:rPr>
          <w:rFonts w:ascii="Times New Roman" w:cs="Times New Roman" w:eastAsia="Times New Roman" w:hAnsi="Times New Roman"/>
          <w:sz w:val="22"/>
          <w:szCs w:val="22"/>
        </w:rPr>
        <w:t xml:space="preserve">Word-boundary disagreements in the ZL transcription (notably f7r) should be verified against Yale Beinecke high-resolution scans. The 1.3% uninterpreted tokens may decrease upon verification.</w:t>
      </w:r>
    </w:p>
    <w:p>
      <w:pPr>
        <w:pStyle w:val="ListParagraph"/>
        <w:numPr>
          <w:ilvl w:val="0"/>
          <w:numId w:val="2"/>
        </w:numPr>
        <w:spacing w:after="80"/>
      </w:pPr>
      <w:r>
        <w:rPr>
          <w:rFonts w:ascii="Times New Roman" w:cs="Times New Roman" w:eastAsia="Times New Roman" w:hAnsi="Times New Roman"/>
          <w:b/>
          <w:bCs/>
          <w:sz w:val="22"/>
          <w:szCs w:val="22"/>
        </w:rPr>
        <w:t xml:space="preserve">Medieval Latin syllable entropy measurement: </w:t>
      </w:r>
      <w:r>
        <w:rPr>
          <w:rFonts w:ascii="Times New Roman" w:cs="Times New Roman" w:eastAsia="Times New Roman" w:hAnsi="Times New Roman"/>
          <w:sz w:val="22"/>
          <w:szCs w:val="22"/>
        </w:rPr>
        <w:t xml:space="preserve">Direct measurement of h₂ from Mondino </w:t>
      </w:r>
      <w:r>
        <w:rPr>
          <w:rFonts w:ascii="Times New Roman" w:cs="Times New Roman" w:eastAsia="Times New Roman" w:hAnsi="Times New Roman"/>
          <w:i/>
          <w:iCs/>
          <w:sz w:val="22"/>
          <w:szCs w:val="22"/>
        </w:rPr>
        <w:t xml:space="preserve">Anathomia</w:t>
      </w:r>
      <w:r>
        <w:rPr>
          <w:rFonts w:ascii="Times New Roman" w:cs="Times New Roman" w:eastAsia="Times New Roman" w:hAnsi="Times New Roman"/>
          <w:sz w:val="22"/>
          <w:szCs w:val="22"/>
        </w:rPr>
        <w:t xml:space="preserve"> and Tacuinum Sanitatis original texts would replace current estimates and provide a more precise comparison for the Bowern &amp; Lindemann anomaly.</w:t>
      </w:r>
    </w:p>
    <w:p>
      <w:pPr>
        <w:pStyle w:val="ListParagraph"/>
        <w:numPr>
          <w:ilvl w:val="0"/>
          <w:numId w:val="2"/>
        </w:numPr>
        <w:spacing w:after="80"/>
      </w:pPr>
      <w:r>
        <w:rPr>
          <w:rFonts w:ascii="Times New Roman" w:cs="Times New Roman" w:eastAsia="Times New Roman" w:hAnsi="Times New Roman"/>
          <w:b/>
          <w:bCs/>
          <w:sz w:val="22"/>
          <w:szCs w:val="22"/>
        </w:rPr>
        <w:t xml:space="preserve">Biological section iconographic comparison: </w:t>
      </w:r>
      <w:r>
        <w:rPr>
          <w:rFonts w:ascii="Times New Roman" w:cs="Times New Roman" w:eastAsia="Times New Roman" w:hAnsi="Times New Roman"/>
          <w:sz w:val="22"/>
          <w:szCs w:val="22"/>
        </w:rPr>
        <w:t xml:space="preserve">A systematic comparison of f74–f84 figures against Fasciculus Medicinae vascular diagrams and Pseudo-Apuleius personification conventions is needed to test the vascular flow hypothesis.</w:t>
      </w:r>
    </w:p>
    <w:p>
      <w:pPr>
        <w:pStyle w:val="ListParagraph"/>
        <w:numPr>
          <w:ilvl w:val="0"/>
          <w:numId w:val="2"/>
        </w:numPr>
        <w:spacing w:after="80"/>
      </w:pPr>
      <w:r>
        <w:rPr>
          <w:rFonts w:ascii="Times New Roman" w:cs="Times New Roman" w:eastAsia="Times New Roman" w:hAnsi="Times New Roman"/>
          <w:b/>
          <w:bCs/>
          <w:sz w:val="22"/>
          <w:szCs w:val="22"/>
        </w:rPr>
        <w:t xml:space="preserve">Astronomical section zodiacal mapping: </w:t>
      </w:r>
      <w:r>
        <w:rPr>
          <w:rFonts w:ascii="Times New Roman" w:cs="Times New Roman" w:eastAsia="Times New Roman" w:hAnsi="Times New Roman"/>
          <w:sz w:val="22"/>
          <w:szCs w:val="22"/>
        </w:rPr>
        <w:t xml:space="preserve">Direct mapping of each nymph figure to a zodiacal position using Yale original images would enable precise season-tissue correspondence tables comparable to Tacuinum Sanitatis calendars.</w:t>
      </w:r>
    </w:p>
    <w:p>
      <w:pPr>
        <w:pStyle w:val="ListParagraph"/>
        <w:numPr>
          <w:ilvl w:val="0"/>
          <w:numId w:val="2"/>
        </w:numPr>
        <w:spacing w:after="80"/>
      </w:pPr>
      <w:r>
        <w:rPr>
          <w:rFonts w:ascii="Times New Roman" w:cs="Times New Roman" w:eastAsia="Times New Roman" w:hAnsi="Times New Roman"/>
          <w:b/>
          <w:bCs/>
          <w:sz w:val="22"/>
          <w:szCs w:val="22"/>
        </w:rPr>
        <w:t xml:space="preserve">Additional botanical identifications: </w:t>
      </w:r>
      <w:r>
        <w:rPr>
          <w:rFonts w:ascii="Times New Roman" w:cs="Times New Roman" w:eastAsia="Times New Roman" w:hAnsi="Times New Roman"/>
          <w:sz w:val="22"/>
          <w:szCs w:val="22"/>
        </w:rPr>
        <w:t xml:space="preserve">Systematic matching of all 113 herbal folios against the Dioscorides–Macer–Pseudo-Apuleius–Tacuinum corpus to extend beyond the three confirmed identifications.</w:t>
      </w:r>
    </w:p>
    <w:p>
      <w:pPr>
        <w:pStyle w:val="ListParagraph"/>
        <w:numPr>
          <w:ilvl w:val="0"/>
          <w:numId w:val="2"/>
        </w:numPr>
        <w:spacing w:after="80"/>
      </w:pPr>
      <w:r>
        <w:rPr>
          <w:rFonts w:ascii="Times New Roman" w:cs="Times New Roman" w:eastAsia="Times New Roman" w:hAnsi="Times New Roman"/>
          <w:b/>
          <w:bCs/>
          <w:sz w:val="22"/>
          <w:szCs w:val="22"/>
        </w:rPr>
        <w:t xml:space="preserve">Independent external replication: </w:t>
      </w:r>
      <w:r>
        <w:rPr>
          <w:rFonts w:ascii="Times New Roman" w:cs="Times New Roman" w:eastAsia="Times New Roman" w:hAnsi="Times New Roman"/>
          <w:sz w:val="22"/>
          <w:szCs w:val="22"/>
        </w:rPr>
        <w:t xml:space="preserve">The parser and dictionary are fully open-source (https://github.com/andceterapress/voynich-latin-parser, tag v21). Independent replication by researchers without AI assistance is the essential next step.</w:t>
      </w:r>
    </w:p>
    <w:p>
      <w:pPr>
        <w:pStyle w:val="ListParagraph"/>
        <w:numPr>
          <w:ilvl w:val="0"/>
          <w:numId w:val="2"/>
        </w:numPr>
        <w:spacing w:after="160"/>
      </w:pPr>
      <w:r>
        <w:rPr>
          <w:rFonts w:ascii="Times New Roman" w:cs="Times New Roman" w:eastAsia="Times New Roman" w:hAnsi="Times New Roman"/>
          <w:b/>
          <w:bCs/>
          <w:sz w:val="22"/>
          <w:szCs w:val="22"/>
        </w:rPr>
        <w:t xml:space="preserve">AI-assisted research limitations: </w:t>
      </w:r>
      <w:r>
        <w:rPr>
          <w:rFonts w:ascii="Times New Roman" w:cs="Times New Roman" w:eastAsia="Times New Roman" w:hAnsi="Times New Roman"/>
          <w:sz w:val="22"/>
          <w:szCs w:val="22"/>
        </w:rPr>
        <w:t xml:space="preserve">This research used Claude Sonnet 4.6 for code implementation, statistical analysis, literature cross-referencing, and manuscript drafting. While the core hypotheses are the author’s own, the possibility that AI assistance introduced systematic biases in root assignments or literature interpretation cannot be fully excluded without independent human expert review.</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12. Conclusions</w:t>
      </w:r>
    </w:p>
    <w:p>
      <w:pPr>
        <w:spacing w:after="160"/>
        <w:jc w:val="both"/>
      </w:pPr>
      <w:r>
        <w:rPr>
          <w:rFonts w:ascii="Times New Roman" w:cs="Times New Roman" w:eastAsia="Times New Roman" w:hAnsi="Times New Roman"/>
          <w:sz w:val="22"/>
          <w:szCs w:val="22"/>
        </w:rPr>
        <w:t xml:space="preserve">We have presented a falsifiable, computationally implemented hypothesis for the Voynich Manuscript: word-level Latin botanical abbreviation consistent with the Mondino–Tacuinum–Carrara tradition of north-Italian monastic pharmacopoeia. The parser achieves 98.7% interpretation across 31,007 tokens. Permutation testing demonstrates statistical non-replicability by random root selection (z = 7.3σ, p &lt; 0.001, n = 1,000). Natural-language statistical tests confirm Zipfian structure (α = 1.035, R² = 0.979) and resolve the Bowern &amp; Lindemann entropy anomaly via compound-glyph analysis. Three botanical folios are independently identified from four medieval sources. Five independent lines of evidence support reinterpreting f99–f102 as plant cross-section diagrams. The astronomical section is proposed as a phytoanatomical seasonal harvest calendar — a botanical Homo Signorum — supported by five independent evidence lines including 19.6x concentration of seasonal tokens and four-season correspondence with Tacuinum Sanitatis harvest conventions.</w:t>
      </w:r>
    </w:p>
    <w:p>
      <w:pPr>
        <w:spacing w:after="160"/>
        <w:jc w:val="both"/>
      </w:pPr>
      <w:r>
        <w:rPr>
          <w:rFonts w:ascii="Times New Roman" w:cs="Times New Roman" w:eastAsia="Times New Roman" w:hAnsi="Times New Roman"/>
          <w:sz w:val="22"/>
          <w:szCs w:val="22"/>
        </w:rPr>
        <w:t xml:space="preserve">This research was initiated by an independent amateur researcher and conducted with AI computational assistance. All results are presented as falsifiable hypotheses. We invite critical replication, expert peer review, and systematic testing. The complete parser, v21 dictionary, and test suite are openly available.</w:t>
      </w:r>
    </w:p>
    <w:p>
      <w:pPr>
        <w:pBdr>
          <w:bottom w:val="single" w:color="CCCCCC" w:sz="2" w:space="1"/>
        </w:pBdr>
        <w:spacing w:after="80" w:before="80"/>
      </w:pPr>
    </w:p>
    <w:p>
      <w:pPr>
        <w:pStyle w:val="Heading1"/>
        <w:pBdr>
          <w:bottom w:val="single" w:color="1F4E79" w:sz="4" w:space="1"/>
        </w:pBdr>
        <w:spacing w:after="140" w:before="360"/>
      </w:pPr>
      <w:r>
        <w:rPr>
          <w:rFonts w:ascii="Times New Roman" w:cs="Times New Roman" w:eastAsia="Times New Roman" w:hAnsi="Times New Roman"/>
          <w:b/>
          <w:bCs/>
          <w:color w:val="1F4E79"/>
          <w:sz w:val="28"/>
          <w:szCs w:val="28"/>
        </w:rPr>
        <w:t xml:space="preserve">References</w:t>
      </w:r>
    </w:p>
    <w:p>
      <w:pPr>
        <w:spacing w:after="100"/>
        <w:ind w:left="720" w:hanging="720"/>
      </w:pPr>
      <w:r>
        <w:rPr>
          <w:rFonts w:ascii="Times New Roman" w:cs="Times New Roman" w:eastAsia="Times New Roman" w:hAnsi="Times New Roman"/>
          <w:sz w:val="22"/>
          <w:szCs w:val="22"/>
        </w:rPr>
        <w:t xml:space="preserve">Albertus Magnus. (1256). De Vegetabilibus. [Ed. Meyer &amp; Jessen, Berlin, 1867.]</w:t>
      </w:r>
    </w:p>
    <w:p>
      <w:pPr>
        <w:spacing w:after="100"/>
        <w:ind w:left="720" w:hanging="720"/>
      </w:pPr>
      <w:r>
        <w:rPr>
          <w:rFonts w:ascii="Times New Roman" w:cs="Times New Roman" w:eastAsia="Times New Roman" w:hAnsi="Times New Roman"/>
          <w:sz w:val="22"/>
          <w:szCs w:val="22"/>
        </w:rPr>
        <w:t xml:space="preserve">Bowern, C. &amp; Lindemann, L. (2021). The Linguistics of the Voynich Manuscript. Annual Review of Linguistics, 7, 285–308.</w:t>
      </w:r>
    </w:p>
    <w:p>
      <w:pPr>
        <w:spacing w:after="100"/>
        <w:ind w:left="720" w:hanging="720"/>
      </w:pPr>
      <w:r>
        <w:rPr>
          <w:rFonts w:ascii="Times New Roman" w:cs="Times New Roman" w:eastAsia="Times New Roman" w:hAnsi="Times New Roman"/>
          <w:sz w:val="22"/>
          <w:szCs w:val="22"/>
        </w:rPr>
        <w:t xml:space="preserve">Cappelli, A. (1928). Lexicon Abbreviaturarum. Milan: Hoepli.</w:t>
      </w:r>
    </w:p>
    <w:p>
      <w:pPr>
        <w:spacing w:after="100"/>
        <w:ind w:left="720" w:hanging="720"/>
      </w:pPr>
      <w:r>
        <w:rPr>
          <w:rFonts w:ascii="Times New Roman" w:cs="Times New Roman" w:eastAsia="Times New Roman" w:hAnsi="Times New Roman"/>
          <w:sz w:val="22"/>
          <w:szCs w:val="22"/>
        </w:rPr>
        <w:t xml:space="preserve">Cheshire, G. (2019). The Language and Writing System of MS408 (Voynich) Explained. Romance Studies, 37(2), 1–16.</w:t>
      </w:r>
    </w:p>
    <w:p>
      <w:pPr>
        <w:spacing w:after="100"/>
        <w:ind w:left="720" w:hanging="720"/>
      </w:pPr>
      <w:r>
        <w:rPr>
          <w:rFonts w:ascii="Times New Roman" w:cs="Times New Roman" w:eastAsia="Times New Roman" w:hAnsi="Times New Roman"/>
          <w:sz w:val="22"/>
          <w:szCs w:val="22"/>
        </w:rPr>
        <w:t xml:space="preserve">Davis, L. F. (2024). Multispectral Imaging and the Voynich Manuscript. Manuscript Road Trip [blog], September 2024.</w:t>
      </w:r>
    </w:p>
    <w:p>
      <w:pPr>
        <w:spacing w:after="100"/>
        <w:ind w:left="720" w:hanging="720"/>
      </w:pPr>
      <w:r>
        <w:rPr>
          <w:rFonts w:ascii="Times New Roman" w:cs="Times New Roman" w:eastAsia="Times New Roman" w:hAnsi="Times New Roman"/>
          <w:sz w:val="22"/>
          <w:szCs w:val="22"/>
        </w:rPr>
        <w:t xml:space="preserve">Dioscorides, P. (ca. 65 CE). De Materia Medica. [Trans. Beck, Hildesheim: Olms, 2005.]</w:t>
      </w:r>
    </w:p>
    <w:p>
      <w:pPr>
        <w:spacing w:after="100"/>
        <w:ind w:left="720" w:hanging="720"/>
      </w:pPr>
      <w:r>
        <w:rPr>
          <w:rFonts w:ascii="Times New Roman" w:cs="Times New Roman" w:eastAsia="Times New Roman" w:hAnsi="Times New Roman"/>
          <w:sz w:val="22"/>
          <w:szCs w:val="22"/>
        </w:rPr>
        <w:t xml:space="preserve">Hodgins, G. (2011). Radiocarbon Dating of the Voynich Manuscript Vellum. University of Arizona AMS Laboratory.</w:t>
      </w:r>
    </w:p>
    <w:p>
      <w:pPr>
        <w:spacing w:after="100"/>
        <w:ind w:left="720" w:hanging="720"/>
      </w:pPr>
      <w:r>
        <w:rPr>
          <w:rFonts w:ascii="Times New Roman" w:cs="Times New Roman" w:eastAsia="Times New Roman" w:hAnsi="Times New Roman"/>
          <w:sz w:val="22"/>
          <w:szCs w:val="22"/>
        </w:rPr>
        <w:t xml:space="preserve">Ketham, J. de. (1491). Fasciculus Medicinae. Venice.</w:t>
      </w:r>
    </w:p>
    <w:p>
      <w:pPr>
        <w:spacing w:after="100"/>
        <w:ind w:left="720" w:hanging="720"/>
      </w:pPr>
      <w:r>
        <w:rPr>
          <w:rFonts w:ascii="Times New Roman" w:cs="Times New Roman" w:eastAsia="Times New Roman" w:hAnsi="Times New Roman"/>
          <w:sz w:val="22"/>
          <w:szCs w:val="22"/>
        </w:rPr>
        <w:t xml:space="preserve">Kim, Uk. (2026). A Compressed Latin Botanical Cipher: The Voynich Manuscript as a Medieval Phytoanatomical Reference. Zenodo. https://doi.org/10.5281/zenodo.20822745</w:t>
      </w:r>
    </w:p>
    <w:p>
      <w:pPr>
        <w:spacing w:after="100"/>
        <w:ind w:left="720" w:hanging="720"/>
      </w:pPr>
      <w:r>
        <w:rPr>
          <w:rFonts w:ascii="Times New Roman" w:cs="Times New Roman" w:eastAsia="Times New Roman" w:hAnsi="Times New Roman"/>
          <w:sz w:val="22"/>
          <w:szCs w:val="22"/>
        </w:rPr>
        <w:t xml:space="preserve">Landini, G. &amp; Zandbergen, R. (2001). EVA Transcription System. (Revised: ZL_ivtff_2b, 2022.)</w:t>
      </w:r>
    </w:p>
    <w:p>
      <w:pPr>
        <w:spacing w:after="100"/>
        <w:ind w:left="720" w:hanging="720"/>
      </w:pPr>
      <w:r>
        <w:rPr>
          <w:rFonts w:ascii="Times New Roman" w:cs="Times New Roman" w:eastAsia="Times New Roman" w:hAnsi="Times New Roman"/>
          <w:sz w:val="22"/>
          <w:szCs w:val="22"/>
        </w:rPr>
        <w:t xml:space="preserve">Macer Floridus (attr.). (ca. 1070–1100). De Viribus Herbarum. [Ed. Choulant, Leipzig, 1832.]</w:t>
      </w:r>
    </w:p>
    <w:p>
      <w:pPr>
        <w:spacing w:after="100"/>
        <w:ind w:left="720" w:hanging="720"/>
      </w:pPr>
      <w:r>
        <w:rPr>
          <w:rFonts w:ascii="Times New Roman" w:cs="Times New Roman" w:eastAsia="Times New Roman" w:hAnsi="Times New Roman"/>
          <w:sz w:val="22"/>
          <w:szCs w:val="22"/>
        </w:rPr>
        <w:t xml:space="preserve">Mondino dei Luzzi. (1316). Anathomia Corporis Humani. Bologna. [Printed: Padua, 1478.]</w:t>
      </w:r>
    </w:p>
    <w:p>
      <w:pPr>
        <w:spacing w:after="100"/>
        <w:ind w:left="720" w:hanging="720"/>
      </w:pPr>
      <w:r>
        <w:rPr>
          <w:rFonts w:ascii="Times New Roman" w:cs="Times New Roman" w:eastAsia="Times New Roman" w:hAnsi="Times New Roman"/>
          <w:sz w:val="22"/>
          <w:szCs w:val="22"/>
        </w:rPr>
        <w:t xml:space="preserve">Montemurro, M. A. &amp; Zanette, D. H. (2013). Keywords and Co-Occurrence Patterns in the Voynich Manuscript. PLOS ONE, 8(6), e66344.</w:t>
      </w:r>
    </w:p>
    <w:p>
      <w:pPr>
        <w:spacing w:after="100"/>
        <w:ind w:left="720" w:hanging="720"/>
      </w:pPr>
      <w:r>
        <w:rPr>
          <w:rFonts w:ascii="Times New Roman" w:cs="Times New Roman" w:eastAsia="Times New Roman" w:hAnsi="Times New Roman"/>
          <w:sz w:val="22"/>
          <w:szCs w:val="22"/>
        </w:rPr>
        <w:t xml:space="preserve">Pseudo-Apuleius. (4th c.). Herbarius. [Ed. Howald &amp; Sigerist, Leipzig: Teubner, 1927.]</w:t>
      </w:r>
    </w:p>
    <w:p>
      <w:pPr>
        <w:spacing w:after="100"/>
        <w:ind w:left="720" w:hanging="720"/>
      </w:pPr>
      <w:r>
        <w:rPr>
          <w:rFonts w:ascii="Times New Roman" w:cs="Times New Roman" w:eastAsia="Times New Roman" w:hAnsi="Times New Roman"/>
          <w:sz w:val="22"/>
          <w:szCs w:val="22"/>
        </w:rPr>
        <w:t xml:space="preserve">Reddy, S. &amp; Knight, K. (2011). What We Know About the Voynich Manuscript. Proc. 5th ACL-HLT Workshop on Language Technology for Cultural Heritage, 78–86.</w:t>
      </w:r>
    </w:p>
    <w:p>
      <w:pPr>
        <w:spacing w:after="100"/>
        <w:ind w:left="720" w:hanging="720"/>
      </w:pPr>
      <w:r>
        <w:rPr>
          <w:rFonts w:ascii="Times New Roman" w:cs="Times New Roman" w:eastAsia="Times New Roman" w:hAnsi="Times New Roman"/>
          <w:sz w:val="22"/>
          <w:szCs w:val="22"/>
        </w:rPr>
        <w:t xml:space="preserve">Rugg, G. (2004). The Mystery of the Voynich Manuscript. Scientific American, 291(1), 104–109.</w:t>
      </w:r>
    </w:p>
    <w:p>
      <w:pPr>
        <w:spacing w:after="100"/>
        <w:ind w:left="720" w:hanging="720"/>
      </w:pPr>
      <w:r>
        <w:rPr>
          <w:rFonts w:ascii="Times New Roman" w:cs="Times New Roman" w:eastAsia="Times New Roman" w:hAnsi="Times New Roman"/>
          <w:sz w:val="22"/>
          <w:szCs w:val="22"/>
        </w:rPr>
        <w:t xml:space="preserve">Schinner, A. (2007). The Voynich Manuscript: Evidence of the Hoax Hypothesis. Cryptologia, 31(2), 95–107.</w:t>
      </w:r>
    </w:p>
    <w:p>
      <w:pPr>
        <w:spacing w:after="100"/>
        <w:ind w:left="720" w:hanging="720"/>
      </w:pPr>
      <w:r>
        <w:rPr>
          <w:rFonts w:ascii="Times New Roman" w:cs="Times New Roman" w:eastAsia="Times New Roman" w:hAnsi="Times New Roman"/>
          <w:sz w:val="22"/>
          <w:szCs w:val="22"/>
        </w:rPr>
        <w:t xml:space="preserve">Touwaide, A. (2015). Medical Botany in the Voynich Manuscript. Voynich.nu Workshop Proceedings.</w:t>
      </w:r>
    </w:p>
    <w:p>
      <w:pPr>
        <w:spacing w:after="100"/>
        <w:ind w:left="720" w:hanging="720"/>
      </w:pPr>
      <w:r>
        <w:rPr>
          <w:rFonts w:ascii="Times New Roman" w:cs="Times New Roman" w:eastAsia="Times New Roman" w:hAnsi="Times New Roman"/>
          <w:sz w:val="22"/>
          <w:szCs w:val="22"/>
        </w:rPr>
        <w:t xml:space="preserve">Zandbergen, R. (2025). The Voynich Manuscript. voynich.nu. Accessed June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3" w:space="1"/>
      </w:pBdr>
      <w:spacing w:after="80"/>
    </w:pPr>
    <w:r>
      <w:rPr>
        <w:rFonts w:ascii="Times New Roman" w:cs="Times New Roman" w:eastAsia="Times New Roman" w:hAnsi="Times New Roman"/>
        <w:color w:val="666666"/>
        <w:sz w:val="18"/>
        <w:szCs w:val="18"/>
      </w:rPr>
      <w:t xml:space="preserve">Voynich MS 408 as Compressed Latin Phytoanatomical Text  |  Uk Kim  |  Independent Research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F4E79"/>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2E5A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2026-06-24T03:58:55.475Z</dcterms:created>
  <dcterms:modified xsi:type="dcterms:W3CDTF">2026-06-24T03:58:55.489Z</dcterms:modified>
</cp:coreProperties>
</file>

<file path=docProps/custom.xml><?xml version="1.0" encoding="utf-8"?>
<Properties xmlns="http://schemas.openxmlformats.org/officeDocument/2006/custom-properties" xmlns:vt="http://schemas.openxmlformats.org/officeDocument/2006/docPropsVTypes"/>
</file>