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aps/>
          <w:color w:val="0EA5E9"/>
          <w:sz w:val="18"/>
          <w:szCs w:val="18"/>
        </w:rPr>
        <w:t xml:space="preserve">INITIATIVE STRATEGY</w:t>
      </w:r>
      <w:r>
        <w:rPr>
          <w:color w:val="64748B"/>
          <w:sz w:val="16"/>
          <w:szCs w:val="16"/>
        </w:rPr>
        <w:t xml:space="preserve">  •  DRAFT</w:t>
      </w:r>
    </w:p>
    <w:p>
      <w:pPr>
        <w:pStyle w:val="Heading1"/>
        <w:spacing w:after="200"/>
      </w:pPr>
      <w:r>
        <w:rPr>
          <w:b/>
          <w:bCs/>
          <w:color w:val="1E293B"/>
          <w:sz w:val="36"/>
          <w:szCs w:val="36"/>
        </w:rPr>
        <w:t xml:space="preserve">'The Lab Standard' Peptide Entry Strategy</w:t>
      </w:r>
    </w:p>
    <w:p>
      <w:pPr>
        <w:pStyle w:val="Heading2"/>
        <w:spacing w:after="120" w:before="300"/>
      </w:pPr>
      <w:r>
        <w:rPr>
          <w:b/>
          <w:bCs/>
          <w:color w:val="1E293B"/>
          <w:sz w:val="26"/>
          <w:szCs w:val="26"/>
        </w:rPr>
        <w:t xml:space="preserve">Objective</w:t>
      </w:r>
    </w:p>
    <w:p>
      <w:pPr>
        <w:spacing w:after="100"/>
      </w:pPr>
      <w:r>
        <w:rPr>
          <w:color w:val="475569"/>
          <w:sz w:val="21"/>
          <w:szCs w:val="21"/>
        </w:rPr>
        <w:t xml:space="preserve">Establish the most trusted, transparent, and premium D2C research peptide brand in the Western market by leveraging tri-verified lab results and a superior UX.</w:t>
      </w:r>
    </w:p>
    <w:p>
      <w:pPr>
        <w:pStyle w:val="Heading2"/>
        <w:spacing w:after="120" w:before="300"/>
      </w:pPr>
      <w:r>
        <w:rPr>
          <w:b/>
          <w:bCs/>
          <w:color w:val="1E293B"/>
          <w:sz w:val="26"/>
          <w:szCs w:val="26"/>
        </w:rPr>
        <w:t xml:space="preserve">Key Results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Achieve a 25-30% price premium over the market average through verified purity signaling.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Realize 15%+ of total transaction volume through USDC/BTC payment methods.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Maintain a 6-12 month customer LTV for metabolic and longevity research products.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Ensure 80% of users interact with batch-specific lab results before checkout.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Achieve 50+ Independent Community Verifications via the Reviewer Portal within the first 6 months.</w:t>
      </w:r>
    </w:p>
    <w:p>
      <w:pPr>
        <w:pStyle w:val="Heading2"/>
        <w:spacing w:after="120" w:before="300"/>
      </w:pPr>
      <w:r>
        <w:rPr>
          <w:b/>
          <w:bCs/>
          <w:color w:val="1E293B"/>
          <w:sz w:val="26"/>
          <w:szCs w:val="26"/>
        </w:rPr>
        <w:t xml:space="preserve">Supporting Data &amp; Insights</w:t>
      </w:r>
    </w:p>
    <w:p>
      <w:pPr>
        <w:spacing w:after="100"/>
      </w:pPr>
      <w:r>
        <w:rPr>
          <w:color w:val="475569"/>
          <w:sz w:val="21"/>
          <w:szCs w:val="21"/>
        </w:rPr>
        <w:t xml:space="preserve">Research peptide D2C market is $1.2B-$1.8B with 14% CAGR. Purity verification (Janoshik) is the current industry table-stakes for high-intent buyers.</w:t>
      </w:r>
    </w:p>
    <w:p>
      <w:pPr>
        <w:pStyle w:val="Heading2"/>
        <w:spacing w:after="120" w:before="300"/>
      </w:pPr>
      <w:r>
        <w:rPr>
          <w:b/>
          <w:bCs/>
          <w:color w:val="1E293B"/>
          <w:sz w:val="26"/>
          <w:szCs w:val="26"/>
        </w:rPr>
        <w:t xml:space="preserve">Proposed Solution</w:t>
      </w:r>
    </w:p>
    <w:p>
      <w:pPr>
        <w:spacing w:after="100"/>
      </w:pPr>
      <w:r>
        <w:rPr>
          <w:color w:val="475569"/>
          <w:sz w:val="21"/>
          <w:szCs w:val="21"/>
        </w:rPr>
        <w:t xml:space="preserve">A premium D2C platform offering high-volume research peptides with a headless Next.js interface and a batch-specific QR verification engine (Purity, Endotoxin, Heavy Metals, Sterility).</w:t>
      </w:r>
    </w:p>
    <w:p>
      <w:pPr>
        <w:pStyle w:val="Heading2"/>
        <w:spacing w:after="120" w:before="300"/>
      </w:pPr>
      <w:r>
        <w:rPr>
          <w:b/>
          <w:bCs/>
          <w:color w:val="1E293B"/>
          <w:sz w:val="26"/>
          <w:szCs w:val="26"/>
        </w:rPr>
        <w:t xml:space="preserve">Target Users</w:t>
      </w:r>
    </w:p>
    <w:p>
      <w:pPr>
        <w:spacing w:after="100"/>
      </w:pPr>
      <w:r>
        <w:rPr>
          <w:color w:val="475569"/>
          <w:sz w:val="21"/>
          <w:szCs w:val="21"/>
        </w:rPr>
        <w:t xml:space="preserve">Biohackers, GLP-1/metabolic users, longevity enthusiasts, and affluent health-conscious professionals.</w:t>
      </w:r>
    </w:p>
    <w:p>
      <w:pPr>
        <w:pStyle w:val="Heading2"/>
        <w:spacing w:after="120" w:before="300"/>
      </w:pPr>
      <w:r>
        <w:rPr>
          <w:b/>
          <w:bCs/>
          <w:color w:val="1E293B"/>
          <w:sz w:val="26"/>
          <w:szCs w:val="26"/>
        </w:rPr>
        <w:t xml:space="preserve">Scope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Next.js 'Lab-First' UI/UX and Design System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Batch-specific QR verification engine and public portal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Incentivized non-custodial crypto-payment gateway (5-10% Transparency Discount)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Tri-verified lab testing pipeline (Janoshik + Secondary Lab)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Custom-molded medical-grade secondary packaging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The Transparency Campaign: 50+ reviewer samples + Public Reviewer Ledger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Subscription-based 'Research Kits' for recurring metabolic protocols</w:t>
      </w:r>
    </w:p>
    <w:p>
      <w:pPr>
        <w:pStyle w:val="Heading2"/>
        <w:spacing w:after="120" w:before="300"/>
      </w:pPr>
      <w:r>
        <w:rPr>
          <w:b/>
          <w:bCs/>
          <w:color w:val="1E293B"/>
          <w:sz w:val="26"/>
          <w:szCs w:val="26"/>
        </w:rPr>
        <w:t xml:space="preserve">Non-Goals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Clinical-grade therapeutics or human consumption marketing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Individual medical advice or dosing protocols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Traditional fiat-only payment infrastructure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Native mobile application development (PWA focus only)</w:t>
      </w:r>
    </w:p>
    <w:p>
      <w:pPr>
        <w:pStyle w:val="Heading2"/>
        <w:spacing w:after="120" w:before="300"/>
      </w:pPr>
      <w:r>
        <w:rPr>
          <w:b/>
          <w:bCs/>
          <w:color w:val="1E293B"/>
          <w:sz w:val="26"/>
          <w:szCs w:val="26"/>
        </w:rPr>
        <w:t xml:space="preserve">Risks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FDA Category 1 Bulk Drug Substance reclassification (e.g., BPC-157)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Payment processor de-platforming or domain seizure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Supply chain volatility from international API manufacturers</w:t>
      </w:r>
    </w:p>
    <w:p>
      <w:pPr>
        <w:pStyle w:val="Heading2"/>
        <w:spacing w:after="120" w:before="300"/>
      </w:pPr>
      <w:r>
        <w:rPr>
          <w:b/>
          <w:bCs/>
          <w:color w:val="1E293B"/>
          <w:sz w:val="26"/>
          <w:szCs w:val="26"/>
        </w:rPr>
        <w:t xml:space="preserve">Dependencies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Janoshik Analytical partnership for COA verification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Reliable high-risk Merchant ID (MID) procurement</w:t>
      </w:r>
    </w:p>
    <w:p>
      <w:pPr>
        <w:pStyle w:val="Heading2"/>
        <w:spacing w:after="120" w:before="300"/>
      </w:pPr>
      <w:r>
        <w:rPr>
          <w:b/>
          <w:bCs/>
          <w:color w:val="1E293B"/>
          <w:sz w:val="26"/>
          <w:szCs w:val="26"/>
        </w:rPr>
        <w:t xml:space="preserve">Assumptions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Target users will pay &gt;25% premium for 'Heavy Metal Free' and 'Sterile' verification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High-risk payment processors remain viable at 8-12% fees</w:t>
      </w:r>
    </w:p>
    <w:p>
      <w:pPr>
        <w:pStyle w:val="Heading2"/>
        <w:spacing w:after="120" w:before="300"/>
      </w:pPr>
      <w:r>
        <w:rPr>
          <w:b/>
          <w:bCs/>
          <w:color w:val="1E293B"/>
          <w:sz w:val="26"/>
          <w:szCs w:val="26"/>
        </w:rPr>
        <w:t xml:space="preserve">Constraints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1"/>
          <w:szCs w:val="21"/>
        </w:rPr>
        <w:t xml:space="preserve">Completion of 'The Transparency Campaign' by Month 3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7556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2026-03-17T20:22:51.298Z</dcterms:created>
  <dcterms:modified xsi:type="dcterms:W3CDTF">2026-03-17T20:22:51.298Z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