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Business Consulting Toolkit (BCTK)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In-Class Project — Market Sizing &amp; STP Analysis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500"/>
        <w:tblGridChange w:id="0">
          <w:tblGrid>
            <w:gridCol w:w="2600"/>
            <w:gridCol w:w="65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90 minutes (During Session 20)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Consulting report (submit as a single document)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permitted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GenAI tools are allowed and encouraged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</w:tbl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The Brief</w:t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A celebrity-led footwear venture.</w:t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Virat Kohli is launching his own shoe brand. Before committing to production, pricing and go-to-market spend, his team wants an independent view of the opportunity: </w:t>
      </w:r>
      <w:r w:rsidDel="00000000" w:rsidR="00000000" w:rsidRPr="00000000">
        <w:rPr>
          <w:b w:val="1"/>
          <w:bCs w:val="1"/>
          <w:rtl w:val="0"/>
        </w:rPr>
        <w:t xml:space="preserve">how big is the market, and which part of it should the brand go after first?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 have been engaged as the consultant. Your job is to size the market and recommend a clear </w:t>
      </w:r>
      <w:r w:rsidDel="00000000" w:rsidR="00000000" w:rsidRPr="00000000">
        <w:rPr>
          <w:b w:val="1"/>
          <w:bCs w:val="1"/>
          <w:rtl w:val="0"/>
        </w:rPr>
        <w:t xml:space="preserve">Segmentation, Targeting and Positioning (STP)</w:t>
      </w:r>
      <w:r w:rsidDel="00000000" w:rsidR="00000000" w:rsidRPr="00000000">
        <w:rPr>
          <w:rtl w:val="0"/>
        </w:rPr>
        <w:t xml:space="preserve"> direction, then present it as a report the client can act on.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What You Must Produce</w:t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short consulting report that helps the client understand the size of the opportunity and the specific slice of the market the brand should address. Structure it under the following sections.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Half a page. State the headline market size, the recommended target segment, and the positioning in a way a busy client can grasp in one read.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2. Market Sizing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 the market using a TAM – SAM – SOM approach (Total, Serviceable and Obtainable market).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your method: state every assumption, the figures you used, and the source or logic behind each one.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the numbers clearly — a simple table or funnel is fine. What matters is that the client can follow how you reached the figure.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3. STP Analysis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Segmentation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the market into meaningful segments (e.g. by demographics, need, price sensitivity, occasion or lifestyle).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 the segment(s) the brand should address first, and justify the choice against size, growth, fit and competition.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how the brand should be perceived by the chosen segment, and how it stands apart from established players.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4. Recommendation to the Client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clear, decisive answer: which segment to pursue and why, expressed in the client's language, not textbook language.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the main risks or assumptions the client should test before investing.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How to Approach the 90 Minutes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the brief and agree the scope of your estimate (geography, product range, time horizon).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the market size with explicit assumptions — do not chase perfect data; a defensible estimate beats a precise-looking guess.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through Segmentation, Targeting and Positioning in order.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recommendation, then the executive summary last.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60" w:right="0" w:hanging="3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the final 10 minutes to sense-check numbers and tidy the report.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Using GenAI</w:t>
      </w:r>
    </w:p>
    <w:p w:rsidR="00000000" w:rsidDel="00000000" w:rsidP="00000000" w:rsidRDefault="00000000" w:rsidRPr="00000000" w14:paraId="0000002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GenAI tools are permitted and encouraged. They are most useful for structuring the analysis, stress-testing assumptions and drafting faster. You remain responsible for every figure and claim in the report.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any market data or statistic the tool gives you — unchecked numbers are treated as your own error.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reward your judgement, assumptions and reasoning, not the volume of AI-generated text.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report that is copied wholesale without critical checking will score poorly on reasoning even if it looks polished.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one document. Keep it concise — quality of reasoning over length.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clear headings that follow the four sections above.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your name / team on the first page.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Marking Rubric (40 marks)</w:t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Each criterion is marked on the quality of thinking shown, not just whether a section is present.</w:t>
      </w:r>
    </w:p>
    <w:tbl>
      <w:tblPr>
        <w:tblStyle w:val="Table2"/>
        <w:tblW w:w="9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5450"/>
        <w:gridCol w:w="1100"/>
        <w:tblGridChange w:id="0">
          <w:tblGrid>
            <w:gridCol w:w="2550"/>
            <w:gridCol w:w="545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strong work demonstrates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TAM–SAM–SOM logic is sound; assumptions are explicit, reasonable and clearly sourced; the client can follow how the number was reached.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Segments are meaningful and well-defined; the target choice is justified against size, fit and competition; positioning is sharp and distinctive.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 decisive, well-argued recommendation framed for the client, with the key risks and assumptions surfaced.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&amp;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Reads like consulting work — logical flow, clean tables/visuals, a genuinely useful executive summary.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Use of GenAI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Evidence of validating, challenging and improving AI output rather than copying it; ownership of the analysis.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–"/>
      <w:lvlJc w:val="left"/>
      <w:pPr>
        <w:ind w:left="92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+EDUw0vjhQyXacLUywccCVwdoQ==">CgMxLjA4AHIhMS1YQU5malBMdk1xeG44YWtpUU5ERFJFeExvR0lEOXdG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2026-09-07T04:43:40.581Z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