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3372A9F7"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A42CCD">
        <w:t>. Furthermore, s</w:t>
      </w:r>
      <w:r w:rsidR="00744864">
        <w:t>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49603B1" w:rsidR="0049680F"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t>.</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r w:rsidRPr="00123243">
              <w:t>contracepted</w:t>
            </w:r>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time contracepted</w:t>
            </w:r>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E569BF" w:rsidR="004B27E7" w:rsidRDefault="00545124" w:rsidP="00545124">
      <w:pPr>
        <w:pStyle w:val="NoSpacing"/>
      </w:pPr>
      <w:r>
        <w:t xml:space="preserve">We are acutely aware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lastRenderedPageBreak/>
              <w:t>Census function</w:t>
            </w:r>
          </w:p>
          <w:p w14:paraId="55B5D13A" w14:textId="77777777" w:rsidR="00545124" w:rsidRPr="00623324" w:rsidRDefault="00545124" w:rsidP="00ED167F">
            <w:pPr>
              <w:pStyle w:val="NoSpacing"/>
              <w:ind w:left="1080"/>
              <w:rPr>
                <w:i/>
              </w:rPr>
            </w:pPr>
            <w:r w:rsidRPr="00623324">
              <w:rPr>
                <w:i/>
              </w:rPr>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w:t>
      </w:r>
      <w:r w:rsidR="004A658D">
        <w:lastRenderedPageBreak/>
        <w:t xml:space="preserve">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765513F7"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CE22DF" w:rsidRDefault="00CC303C" w:rsidP="00D618DB">
      <w:pPr>
        <w:pStyle w:val="NoSpacing"/>
        <w:rPr>
          <w:i/>
          <w:color w:val="000000" w:themeColor="text1"/>
        </w:rPr>
      </w:pPr>
      <w:r w:rsidRPr="00CE22DF">
        <w:rPr>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40933234" w:rsidR="00E34627" w:rsidRPr="00A76886" w:rsidRDefault="00250772" w:rsidP="00E34627">
      <w:pPr>
        <w:pStyle w:val="NoSpacing"/>
        <w:rPr>
          <w:color w:val="000000" w:themeColor="text1"/>
        </w:rPr>
      </w:pPr>
      <w:r>
        <w:rPr>
          <w:color w:val="000000" w:themeColor="text1"/>
        </w:rPr>
        <w:t>Although the number of reported human cases each year is relatively small, many people receive PEP</w:t>
      </w:r>
      <w:r w:rsidR="00895029">
        <w:rPr>
          <w:color w:val="000000" w:themeColor="text1"/>
        </w:rPr>
        <w:t>…</w:t>
      </w:r>
    </w:p>
    <w:p w14:paraId="13242262" w14:textId="77777777" w:rsidR="00E26433" w:rsidRDefault="00ED167F" w:rsidP="00ED167F">
      <w:pPr>
        <w:pStyle w:val="NoSpacing"/>
        <w:numPr>
          <w:ilvl w:val="0"/>
          <w:numId w:val="18"/>
        </w:numPr>
        <w:rPr>
          <w:color w:val="FF0000"/>
        </w:rPr>
      </w:pPr>
      <w:r>
        <w:rPr>
          <w:color w:val="FF0000"/>
        </w:rPr>
        <w:t>How are people affected</w:t>
      </w:r>
      <w:r w:rsidR="005C448F">
        <w:rPr>
          <w:color w:val="FF0000"/>
        </w:rPr>
        <w:t xml:space="preserve"> (deaths, PEPs)</w:t>
      </w:r>
      <w:r>
        <w:rPr>
          <w:color w:val="FF0000"/>
        </w:rPr>
        <w:t>?</w:t>
      </w:r>
      <w:r w:rsidR="00E26433">
        <w:rPr>
          <w:color w:val="FF0000"/>
        </w:rPr>
        <w:t xml:space="preserve"> </w:t>
      </w:r>
    </w:p>
    <w:p w14:paraId="0FE5DFAE" w14:textId="6C47D161" w:rsidR="00ED167F" w:rsidRDefault="00E26433" w:rsidP="00ED167F">
      <w:pPr>
        <w:pStyle w:val="NoSpacing"/>
        <w:numPr>
          <w:ilvl w:val="0"/>
          <w:numId w:val="18"/>
        </w:numPr>
        <w:rPr>
          <w:color w:val="FF0000"/>
        </w:rPr>
      </w:pPr>
      <w:r>
        <w:rPr>
          <w:color w:val="FF0000"/>
        </w:rPr>
        <w:t>How much is spent on PEP and who pays for it?</w:t>
      </w:r>
    </w:p>
    <w:p w14:paraId="56DBFD24" w14:textId="33DC9A78" w:rsidR="00ED167F" w:rsidRDefault="00ED167F" w:rsidP="00ED167F">
      <w:pPr>
        <w:pStyle w:val="NoSpacing"/>
        <w:numPr>
          <w:ilvl w:val="0"/>
          <w:numId w:val="18"/>
        </w:numPr>
        <w:rPr>
          <w:color w:val="FF0000"/>
        </w:rPr>
      </w:pPr>
      <w:r>
        <w:rPr>
          <w:color w:val="FF0000"/>
        </w:rPr>
        <w:t>How much money is being spent on management?</w:t>
      </w:r>
    </w:p>
    <w:p w14:paraId="65D1920B" w14:textId="21B88D8C" w:rsidR="00ED167F" w:rsidRPr="00ED167F" w:rsidRDefault="00ED167F" w:rsidP="00ED167F">
      <w:pPr>
        <w:pStyle w:val="NoSpacing"/>
        <w:numPr>
          <w:ilvl w:val="0"/>
          <w:numId w:val="18"/>
        </w:numPr>
        <w:rPr>
          <w:color w:val="FF0000"/>
        </w:rPr>
      </w:pPr>
      <w:r>
        <w:rPr>
          <w:color w:val="FF0000"/>
        </w:rPr>
        <w:t>How is manage</w:t>
      </w:r>
      <w:r w:rsidR="00CE22DF">
        <w:rPr>
          <w:color w:val="FF0000"/>
        </w:rPr>
        <w:t xml:space="preserve">ment coordinated nationally, </w:t>
      </w:r>
      <w:r>
        <w:rPr>
          <w:color w:val="FF0000"/>
        </w:rPr>
        <w:t>regionally</w:t>
      </w:r>
      <w:r w:rsidR="00CE22DF">
        <w:rPr>
          <w:color w:val="FF0000"/>
        </w:rPr>
        <w:t>, and locally</w:t>
      </w:r>
      <w:r>
        <w:rPr>
          <w:color w:val="FF0000"/>
        </w:rPr>
        <w:t>?</w:t>
      </w:r>
    </w:p>
    <w:p w14:paraId="2F858AF9" w14:textId="77777777" w:rsidR="007F4826" w:rsidRDefault="007F4826" w:rsidP="00D618DB">
      <w:pPr>
        <w:pStyle w:val="NoSpacing"/>
        <w:rPr>
          <w:i/>
        </w:rPr>
      </w:pPr>
    </w:p>
    <w:p w14:paraId="5438BB8F" w14:textId="6FF5A0FA" w:rsidR="009436A4" w:rsidRPr="00CE22DF" w:rsidRDefault="00CC303C" w:rsidP="00CE22DF">
      <w:pPr>
        <w:pStyle w:val="NoSpacing"/>
        <w:rPr>
          <w:i/>
          <w:color w:val="000000" w:themeColor="text1"/>
        </w:rPr>
      </w:pPr>
      <w:r w:rsidRPr="00CE22DF">
        <w:rPr>
          <w:i/>
          <w:color w:val="000000" w:themeColor="text1"/>
        </w:rPr>
        <w:t>Need for</w:t>
      </w:r>
      <w:r w:rsidR="00CE22DF" w:rsidRPr="00CE22DF">
        <w:rPr>
          <w:i/>
          <w:color w:val="000000" w:themeColor="text1"/>
        </w:rPr>
        <w:t xml:space="preserve"> </w:t>
      </w:r>
      <w:r w:rsidRPr="00CE22DF">
        <w:rPr>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1A10CEE1" w14:textId="5695683B" w:rsidR="00C37945" w:rsidRPr="00CE22DF"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Given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w:t>
      </w:r>
      <w:r w:rsidR="002075BE" w:rsidRPr="00CE22DF">
        <w:rPr>
          <w:color w:val="000000" w:themeColor="text1"/>
        </w:rPr>
        <w:lastRenderedPageBreak/>
        <w:t xml:space="preserve">vaccination resources devoted to that dog would be wasted if the dog died or otherwise left the population. </w:t>
      </w:r>
      <w:r w:rsidR="005C6583" w:rsidRPr="00CE22DF">
        <w:rPr>
          <w:color w:val="000000" w:themeColor="text1"/>
        </w:rPr>
        <w:t xml:space="preserve">However, there are certain conditions under which vaccinating puppies may be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2CAC3377" w14:textId="5D847F2F" w:rsidR="00994251" w:rsidRPr="00CE22DF"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The answer to this question</w:t>
      </w:r>
      <w:r w:rsidR="00D62A5D" w:rsidRPr="00CE22DF">
        <w:rPr>
          <w:color w:val="000000" w:themeColor="text1"/>
        </w:rPr>
        <w:t xml:space="preserve"> involves tradeoff</w:t>
      </w:r>
      <w:r w:rsidR="00076C50" w:rsidRPr="00CE22DF">
        <w:rPr>
          <w:color w:val="000000" w:themeColor="text1"/>
        </w:rPr>
        <w:t>s</w:t>
      </w:r>
      <w:r w:rsidR="00D62A5D" w:rsidRPr="00CE22DF">
        <w:rPr>
          <w:color w:val="000000" w:themeColor="text1"/>
        </w:rPr>
        <w:t xml:space="preserve"> similar to those of the </w:t>
      </w:r>
      <w:r w:rsidR="006E5D0C" w:rsidRPr="00CE22DF">
        <w:rPr>
          <w:color w:val="000000" w:themeColor="text1"/>
        </w:rPr>
        <w:t xml:space="preserve">puppy vaccination question. Of course, if sufficient resources are available to vaccinate </w:t>
      </w:r>
      <w:r w:rsidR="00076C50" w:rsidRPr="00CE22DF">
        <w:rPr>
          <w:color w:val="000000" w:themeColor="text1"/>
        </w:rPr>
        <w:t>all dogs in the population, then any additional resources devoted to sterilization will reduce the need to vaccinate in the future because population growth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2C6D96" w:rsidRDefault="00D618DB" w:rsidP="00D618DB">
      <w:pPr>
        <w:pStyle w:val="NoSpacing"/>
        <w:rPr>
          <w:i/>
        </w:rPr>
      </w:pPr>
      <w:r w:rsidRPr="002C6D96">
        <w:rPr>
          <w:i/>
        </w:rPr>
        <w:t>Study Area</w:t>
      </w:r>
    </w:p>
    <w:p w14:paraId="14EE1E3D" w14:textId="132BB0CA" w:rsidR="00D618DB" w:rsidRDefault="00D618DB" w:rsidP="00D618DB">
      <w:pPr>
        <w:pStyle w:val="NoSpacing"/>
      </w:pPr>
      <w:r w:rsidRPr="002C6D96">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646E54CA" w14:textId="77777777" w:rsidR="00722B6E" w:rsidRDefault="00722B6E" w:rsidP="00D618DB">
      <w:pPr>
        <w:pStyle w:val="NoSpacing"/>
        <w:rPr>
          <w:i/>
        </w:rPr>
      </w:pPr>
    </w:p>
    <w:p w14:paraId="16FA7A70" w14:textId="6024F804" w:rsidR="00910025" w:rsidRPr="00722B6E" w:rsidRDefault="00CE2D31" w:rsidP="00D618DB">
      <w:pPr>
        <w:pStyle w:val="NoSpacing"/>
        <w:rPr>
          <w:i/>
        </w:rPr>
      </w:pPr>
      <w:r>
        <w:rPr>
          <w:i/>
        </w:rPr>
        <w:t xml:space="preserve">Parameter </w:t>
      </w:r>
      <w:r w:rsidR="00D618DB">
        <w:rPr>
          <w:i/>
        </w:rPr>
        <w:t>Estimation</w:t>
      </w:r>
    </w:p>
    <w:p w14:paraId="2D0E8ADF" w14:textId="7165F8B2" w:rsidR="004D5E58" w:rsidRDefault="00B35873" w:rsidP="00D618DB">
      <w:pPr>
        <w:pStyle w:val="NoSpacing"/>
      </w:pPr>
      <w:r>
        <w:t>The data collected from the study area provided the basis for many of the param</w:t>
      </w:r>
      <w:r w:rsidR="00AB79D6">
        <w:t>eters used in the model (Table 2</w:t>
      </w:r>
      <w:r>
        <w:t xml:space="preserve">).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w:t>
      </w:r>
      <w:r w:rsidR="00E0306B">
        <w:lastRenderedPageBreak/>
        <w:t xml:space="preserve">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58C6046C" w14:textId="27BA8CE8" w:rsidR="006C371B"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w:t>
      </w:r>
      <w:r w:rsidR="006C371B">
        <w:t>he beginning of the third year.</w:t>
      </w:r>
    </w:p>
    <w:p w14:paraId="2EBE477E" w14:textId="77777777" w:rsidR="00ED167F" w:rsidRDefault="00ED167F" w:rsidP="00D618DB">
      <w:pPr>
        <w:pStyle w:val="NoSpacing"/>
      </w:pPr>
    </w:p>
    <w:p w14:paraId="54C97B5F" w14:textId="1E492669" w:rsidR="00ED167F" w:rsidRDefault="00ED167F" w:rsidP="00ED167F">
      <w:pPr>
        <w:pStyle w:val="NoSpacing"/>
        <w:numPr>
          <w:ilvl w:val="0"/>
          <w:numId w:val="20"/>
        </w:numPr>
        <w:rPr>
          <w:color w:val="FF0000"/>
        </w:rPr>
      </w:pPr>
      <w:r>
        <w:rPr>
          <w:color w:val="FF0000"/>
        </w:rPr>
        <w:t>Cost estimates</w:t>
      </w:r>
    </w:p>
    <w:p w14:paraId="134DEA59" w14:textId="77777777" w:rsidR="00D34176" w:rsidRDefault="00D34176" w:rsidP="00D34176">
      <w:pPr>
        <w:pStyle w:val="NoSpacing"/>
        <w:rPr>
          <w:color w:val="FF0000"/>
        </w:rPr>
      </w:pPr>
    </w:p>
    <w:p w14:paraId="140E3F93" w14:textId="034E7106" w:rsidR="00D34176" w:rsidRDefault="00D34176" w:rsidP="00D34176">
      <w:pPr>
        <w:pStyle w:val="NoSpacing"/>
        <w:rPr>
          <w:color w:val="FF0000"/>
        </w:rPr>
      </w:pPr>
      <w:r>
        <w:rPr>
          <w:color w:val="FF0000"/>
        </w:rPr>
        <w:t>We set the cost of treatment (i.e. vaccination, sterilization) based on communication</w:t>
      </w:r>
      <w:r w:rsidR="00186F22">
        <w:rPr>
          <w:color w:val="FF0000"/>
        </w:rPr>
        <w:t xml:space="preserve"> with experts in South Africa. </w:t>
      </w:r>
      <w:r w:rsidR="00620C83">
        <w:rPr>
          <w:color w:val="FF0000"/>
        </w:rPr>
        <w:t xml:space="preserve">However, the cost of contacting dogs was estimated based on data we collected from… </w:t>
      </w:r>
    </w:p>
    <w:p w14:paraId="2F240631" w14:textId="77777777" w:rsidR="00D34176" w:rsidRDefault="00D34176" w:rsidP="00D34176">
      <w:pPr>
        <w:pStyle w:val="NoSpacing"/>
        <w:rPr>
          <w:color w:val="FF0000"/>
        </w:rPr>
      </w:pPr>
    </w:p>
    <w:p w14:paraId="4A93AC63" w14:textId="53833F7D" w:rsidR="00ED167F" w:rsidRDefault="00ED167F" w:rsidP="00ED167F">
      <w:pPr>
        <w:pStyle w:val="NoSpacing"/>
        <w:numPr>
          <w:ilvl w:val="0"/>
          <w:numId w:val="20"/>
        </w:numPr>
        <w:rPr>
          <w:color w:val="FF0000"/>
        </w:rPr>
      </w:pPr>
      <w:r>
        <w:rPr>
          <w:color w:val="FF0000"/>
        </w:rPr>
        <w:t>Human impacts</w:t>
      </w:r>
    </w:p>
    <w:p w14:paraId="775358D1" w14:textId="1E37412F" w:rsidR="00ED167F" w:rsidRDefault="00ED167F" w:rsidP="00ED167F">
      <w:pPr>
        <w:pStyle w:val="NoSpacing"/>
        <w:numPr>
          <w:ilvl w:val="1"/>
          <w:numId w:val="20"/>
        </w:numPr>
        <w:rPr>
          <w:color w:val="FF0000"/>
        </w:rPr>
      </w:pPr>
      <w:r>
        <w:rPr>
          <w:color w:val="FF0000"/>
        </w:rPr>
        <w:t>Bites</w:t>
      </w:r>
    </w:p>
    <w:p w14:paraId="6D277819" w14:textId="48CC6358" w:rsidR="00ED167F" w:rsidRPr="00ED167F" w:rsidRDefault="00ED167F" w:rsidP="00ED167F">
      <w:pPr>
        <w:pStyle w:val="NoSpacing"/>
        <w:numPr>
          <w:ilvl w:val="1"/>
          <w:numId w:val="20"/>
        </w:numPr>
        <w:rPr>
          <w:color w:val="FF0000"/>
        </w:rPr>
      </w:pPr>
      <w:r>
        <w:rPr>
          <w:color w:val="FF0000"/>
        </w:rPr>
        <w:t>PEPs</w:t>
      </w:r>
    </w:p>
    <w:p w14:paraId="11E7C094" w14:textId="6786858C" w:rsidR="00D618DB" w:rsidRDefault="00D618DB" w:rsidP="00F31A47">
      <w:pPr>
        <w:pStyle w:val="NoSpacing"/>
      </w:pPr>
    </w:p>
    <w:p w14:paraId="71BE1E33" w14:textId="77777777" w:rsidR="00F31A47" w:rsidRDefault="00F31A47" w:rsidP="00F31A47">
      <w:pPr>
        <w:pStyle w:val="NoSpacing"/>
        <w:rPr>
          <w:b/>
          <w:color w:val="FF0000"/>
        </w:rPr>
      </w:pPr>
      <w:r w:rsidRPr="005C448F">
        <w:rPr>
          <w:b/>
          <w:color w:val="FF0000"/>
        </w:rPr>
        <w:t>Results</w:t>
      </w:r>
    </w:p>
    <w:p w14:paraId="69F9C4FD" w14:textId="77777777" w:rsidR="00CE22DF" w:rsidRDefault="00CE22DF" w:rsidP="00F31A47">
      <w:pPr>
        <w:pStyle w:val="NoSpacing"/>
        <w:rPr>
          <w:b/>
          <w:color w:val="FF0000"/>
        </w:rPr>
      </w:pPr>
    </w:p>
    <w:p w14:paraId="2E06FE6B" w14:textId="152D7D86" w:rsidR="00CE22DF" w:rsidRDefault="00CE22DF" w:rsidP="00F31A47">
      <w:pPr>
        <w:pStyle w:val="NoSpacing"/>
        <w:rPr>
          <w:color w:val="FF0000"/>
        </w:rPr>
      </w:pPr>
      <w:r>
        <w:rPr>
          <w:color w:val="FF0000"/>
        </w:rPr>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w:t>
      </w:r>
      <w:bookmarkStart w:id="0" w:name="_GoBack"/>
      <w:bookmarkEnd w:id="0"/>
      <w:r>
        <w:rPr>
          <w:color w:val="FF0000"/>
        </w:rPr>
        <w:t xml:space="preserve"> the same budget.</w:t>
      </w:r>
    </w:p>
    <w:p w14:paraId="399E9E59" w14:textId="77777777" w:rsidR="00CE22DF" w:rsidRPr="00CE22DF" w:rsidRDefault="00CE22DF" w:rsidP="00F31A47">
      <w:pPr>
        <w:pStyle w:val="NoSpacing"/>
        <w:rPr>
          <w:color w:val="FF0000"/>
        </w:rPr>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lastRenderedPageBreak/>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fertility control, booster vaccination, or vaccination of puppies.</w:t>
      </w:r>
      <w:r w:rsidR="009C09E9">
        <w:rPr>
          <w:color w:val="FF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24C375E"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 xml:space="preserve">arge populations. First, </w:t>
      </w:r>
      <w:r w:rsidR="00FF4B34">
        <w:rPr>
          <w:color w:val="FF0000"/>
        </w:rPr>
        <w:t>the model we have built has no</w:t>
      </w:r>
      <w:r w:rsidR="00634710">
        <w:rPr>
          <w:color w:val="FF0000"/>
        </w:rPr>
        <w:t xml:space="preserve"> spatial detail other than a concept of dogs entering and exiting the population. In large populations with substantial spatial heterogeneity, the sui</w:t>
      </w:r>
      <w:r w:rsidR="00FF4B34">
        <w:rPr>
          <w:color w:val="FF0000"/>
        </w:rPr>
        <w:t xml:space="preserve">tability of our model should be </w:t>
      </w:r>
      <w:r w:rsidR="00634710">
        <w:rPr>
          <w:color w:val="FF0000"/>
        </w:rPr>
        <w:t>carefully</w:t>
      </w:r>
      <w:r w:rsidR="00FF4B34">
        <w:rPr>
          <w:color w:val="FF0000"/>
        </w:rPr>
        <w:t xml:space="preserve"> considered</w:t>
      </w:r>
      <w:r w:rsidR="00634710">
        <w:rPr>
          <w:color w:val="FF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5C448F" w:rsidRDefault="00DA4ADC">
      <w:pPr>
        <w:rPr>
          <w:b/>
          <w:color w:val="FF0000"/>
        </w:rPr>
      </w:pPr>
      <w:r w:rsidRPr="005C448F">
        <w:rPr>
          <w:b/>
          <w:color w:val="FF0000"/>
        </w:rPr>
        <w:t>References</w:t>
      </w:r>
    </w:p>
    <w:sectPr w:rsidR="00DA4ADC" w:rsidRPr="005C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FECC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76C50"/>
    <w:rsid w:val="00087B5F"/>
    <w:rsid w:val="000B7D00"/>
    <w:rsid w:val="000C301A"/>
    <w:rsid w:val="00113217"/>
    <w:rsid w:val="00113FF9"/>
    <w:rsid w:val="00123243"/>
    <w:rsid w:val="00145ED6"/>
    <w:rsid w:val="00160688"/>
    <w:rsid w:val="00186F22"/>
    <w:rsid w:val="001A7FB4"/>
    <w:rsid w:val="001C2FE2"/>
    <w:rsid w:val="001D62E8"/>
    <w:rsid w:val="001F5852"/>
    <w:rsid w:val="001F63D2"/>
    <w:rsid w:val="002075BE"/>
    <w:rsid w:val="002121E7"/>
    <w:rsid w:val="00212B56"/>
    <w:rsid w:val="00216FCA"/>
    <w:rsid w:val="00220DF8"/>
    <w:rsid w:val="00224E78"/>
    <w:rsid w:val="0022616B"/>
    <w:rsid w:val="002303F1"/>
    <w:rsid w:val="00250772"/>
    <w:rsid w:val="002824E5"/>
    <w:rsid w:val="002851FA"/>
    <w:rsid w:val="0029112D"/>
    <w:rsid w:val="002A0008"/>
    <w:rsid w:val="002C6D96"/>
    <w:rsid w:val="002F0FC7"/>
    <w:rsid w:val="0030398E"/>
    <w:rsid w:val="00317C82"/>
    <w:rsid w:val="003247F8"/>
    <w:rsid w:val="00344A9F"/>
    <w:rsid w:val="00361595"/>
    <w:rsid w:val="00377FC7"/>
    <w:rsid w:val="00403119"/>
    <w:rsid w:val="00453F9A"/>
    <w:rsid w:val="00465BFE"/>
    <w:rsid w:val="00476731"/>
    <w:rsid w:val="0049680F"/>
    <w:rsid w:val="00496F81"/>
    <w:rsid w:val="004A658D"/>
    <w:rsid w:val="004B27E7"/>
    <w:rsid w:val="004D4A0C"/>
    <w:rsid w:val="004D5E58"/>
    <w:rsid w:val="005079BE"/>
    <w:rsid w:val="005100D5"/>
    <w:rsid w:val="00545124"/>
    <w:rsid w:val="00552FA2"/>
    <w:rsid w:val="00554965"/>
    <w:rsid w:val="005857B8"/>
    <w:rsid w:val="005A3162"/>
    <w:rsid w:val="005C448F"/>
    <w:rsid w:val="005C6583"/>
    <w:rsid w:val="005D120B"/>
    <w:rsid w:val="005E15A7"/>
    <w:rsid w:val="005E5A5E"/>
    <w:rsid w:val="00620C83"/>
    <w:rsid w:val="00623053"/>
    <w:rsid w:val="00623324"/>
    <w:rsid w:val="0062457B"/>
    <w:rsid w:val="0062616B"/>
    <w:rsid w:val="00634710"/>
    <w:rsid w:val="00637A87"/>
    <w:rsid w:val="00640FEC"/>
    <w:rsid w:val="00654341"/>
    <w:rsid w:val="006635BE"/>
    <w:rsid w:val="00673006"/>
    <w:rsid w:val="0068406B"/>
    <w:rsid w:val="006859D1"/>
    <w:rsid w:val="006A3C29"/>
    <w:rsid w:val="006B6B14"/>
    <w:rsid w:val="006C371B"/>
    <w:rsid w:val="006C68E4"/>
    <w:rsid w:val="006C76EB"/>
    <w:rsid w:val="006D3CF8"/>
    <w:rsid w:val="006D7951"/>
    <w:rsid w:val="006E401D"/>
    <w:rsid w:val="006E5D0C"/>
    <w:rsid w:val="00710F31"/>
    <w:rsid w:val="00713AB9"/>
    <w:rsid w:val="00722B6E"/>
    <w:rsid w:val="00727AF5"/>
    <w:rsid w:val="00744864"/>
    <w:rsid w:val="00746475"/>
    <w:rsid w:val="00755E09"/>
    <w:rsid w:val="007713DA"/>
    <w:rsid w:val="00776D2A"/>
    <w:rsid w:val="007803DC"/>
    <w:rsid w:val="00781776"/>
    <w:rsid w:val="00786D37"/>
    <w:rsid w:val="007B4587"/>
    <w:rsid w:val="007C08B7"/>
    <w:rsid w:val="007F4826"/>
    <w:rsid w:val="008119C3"/>
    <w:rsid w:val="00840562"/>
    <w:rsid w:val="00843611"/>
    <w:rsid w:val="008630E9"/>
    <w:rsid w:val="00880CAC"/>
    <w:rsid w:val="00894A07"/>
    <w:rsid w:val="00895029"/>
    <w:rsid w:val="008B0FD9"/>
    <w:rsid w:val="008B14B7"/>
    <w:rsid w:val="008E5B39"/>
    <w:rsid w:val="008E614B"/>
    <w:rsid w:val="008F78F8"/>
    <w:rsid w:val="00910025"/>
    <w:rsid w:val="00942977"/>
    <w:rsid w:val="009436A4"/>
    <w:rsid w:val="00966092"/>
    <w:rsid w:val="00994251"/>
    <w:rsid w:val="009A6B3B"/>
    <w:rsid w:val="009B3AAD"/>
    <w:rsid w:val="009C070F"/>
    <w:rsid w:val="009C09E9"/>
    <w:rsid w:val="009C420F"/>
    <w:rsid w:val="009E3E84"/>
    <w:rsid w:val="009F0F80"/>
    <w:rsid w:val="00A00509"/>
    <w:rsid w:val="00A31290"/>
    <w:rsid w:val="00A3359F"/>
    <w:rsid w:val="00A42CCD"/>
    <w:rsid w:val="00A65800"/>
    <w:rsid w:val="00A76886"/>
    <w:rsid w:val="00A866BC"/>
    <w:rsid w:val="00A86989"/>
    <w:rsid w:val="00AB0A72"/>
    <w:rsid w:val="00AB79D6"/>
    <w:rsid w:val="00AC32F0"/>
    <w:rsid w:val="00AC5094"/>
    <w:rsid w:val="00AC7C1A"/>
    <w:rsid w:val="00AD5AAC"/>
    <w:rsid w:val="00AE16AB"/>
    <w:rsid w:val="00AF0733"/>
    <w:rsid w:val="00B268F8"/>
    <w:rsid w:val="00B35873"/>
    <w:rsid w:val="00B3603E"/>
    <w:rsid w:val="00B6076A"/>
    <w:rsid w:val="00B776F2"/>
    <w:rsid w:val="00B92147"/>
    <w:rsid w:val="00BA58B0"/>
    <w:rsid w:val="00BB019D"/>
    <w:rsid w:val="00BB1CA5"/>
    <w:rsid w:val="00BD2F7E"/>
    <w:rsid w:val="00BD304A"/>
    <w:rsid w:val="00BE5D5D"/>
    <w:rsid w:val="00C010F6"/>
    <w:rsid w:val="00C37945"/>
    <w:rsid w:val="00C5271A"/>
    <w:rsid w:val="00C53260"/>
    <w:rsid w:val="00C6035F"/>
    <w:rsid w:val="00C73708"/>
    <w:rsid w:val="00CA7CE5"/>
    <w:rsid w:val="00CC303C"/>
    <w:rsid w:val="00CE22DF"/>
    <w:rsid w:val="00CE2D31"/>
    <w:rsid w:val="00CF0D20"/>
    <w:rsid w:val="00D31D1F"/>
    <w:rsid w:val="00D34176"/>
    <w:rsid w:val="00D60BDE"/>
    <w:rsid w:val="00D618DB"/>
    <w:rsid w:val="00D62A5D"/>
    <w:rsid w:val="00D651A9"/>
    <w:rsid w:val="00D76692"/>
    <w:rsid w:val="00D76B6C"/>
    <w:rsid w:val="00D95A84"/>
    <w:rsid w:val="00D975F0"/>
    <w:rsid w:val="00DA4ADC"/>
    <w:rsid w:val="00DD4797"/>
    <w:rsid w:val="00DE00BC"/>
    <w:rsid w:val="00DE6FFF"/>
    <w:rsid w:val="00E0306B"/>
    <w:rsid w:val="00E26433"/>
    <w:rsid w:val="00E3199A"/>
    <w:rsid w:val="00E34627"/>
    <w:rsid w:val="00E70865"/>
    <w:rsid w:val="00E81353"/>
    <w:rsid w:val="00E85322"/>
    <w:rsid w:val="00E9106E"/>
    <w:rsid w:val="00E94C18"/>
    <w:rsid w:val="00ED167F"/>
    <w:rsid w:val="00F25ED5"/>
    <w:rsid w:val="00F31A47"/>
    <w:rsid w:val="00F35FB1"/>
    <w:rsid w:val="00F56536"/>
    <w:rsid w:val="00F65876"/>
    <w:rsid w:val="00F66D9E"/>
    <w:rsid w:val="00F74A7C"/>
    <w:rsid w:val="00F801FC"/>
    <w:rsid w:val="00FA502C"/>
    <w:rsid w:val="00FA525B"/>
    <w:rsid w:val="00FB5C07"/>
    <w:rsid w:val="00FD3641"/>
    <w:rsid w:val="00FE0155"/>
    <w:rsid w:val="00FF4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457180672"/>
        <c:axId val="440100544"/>
      </c:scatterChart>
      <c:valAx>
        <c:axId val="457180672"/>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00544"/>
        <c:crosses val="autoZero"/>
        <c:crossBetween val="midCat"/>
        <c:majorUnit val="25.0"/>
      </c:valAx>
      <c:valAx>
        <c:axId val="440100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806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4495</Words>
  <Characters>25627</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30062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11</cp:revision>
  <dcterms:created xsi:type="dcterms:W3CDTF">2017-08-30T17:09:00Z</dcterms:created>
  <dcterms:modified xsi:type="dcterms:W3CDTF">2018-01-03T18:54:00Z</dcterms:modified>
</cp:coreProperties>
</file>