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1600"/>
      </w:pPr>
      <w:r>
        <w:rPr>
          <w:color w:val="5B6475"/>
          <w:sz w:val="22"/>
          <w:szCs w:val="22"/>
        </w:rPr>
        <w:t xml:space="preserve">Версия 1.0 · 5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0,845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0,743)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2,4%</w:t>
      </w:r>
      <w:r>
        <w:rPr>
          <w:color w:val="5B6475"/>
          <w:sz w:val="18"/>
          <w:szCs w:val="18"/>
        </w:rPr>
        <w:t xml:space="preserve">  завышения грейда по тесту против 36,1%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86</w:t>
      </w:r>
      <w:r>
        <w:rPr>
          <w:color w:val="5B6475"/>
          <w:sz w:val="18"/>
          <w:szCs w:val="18"/>
        </w:rPr>
        <w:t xml:space="preserve">  методов API в OpenAPI, 491 автотест,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5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6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4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7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5.9.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4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8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6.6.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1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6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7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28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1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2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10. Используемые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7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1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3">
        <w:r>
          <w:rPr>
            <w:b/>
            <w:bCs/>
            <w:color w:val="310F53"/>
            <w:sz w:val="20"/>
            <w:szCs w:val="20"/>
          </w:rPr>
          <w:t xml:space="preserve">12.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Шесть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только из категорий, присвоенных тестированием. Самоописание влияет лишь на объяснения и текстовую близость.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Keycloak, достижения из реестра усиливают профиль; отсутствие истории ФСП не штрафует кандидата.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7"/>
        <w:gridCol w:w="3894"/>
        <w:gridCol w:w="1977"/>
      </w:tblGrid>
      <w:tr>
        <w:trPr>
          <w:cantSplit/>
          <w:tblHeader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Требование ТЗ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реализовано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→ выбор уровня → адаптивный тест; категория = специализация × грейд по результату теста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Не подтвердил — сразу доступен тест уровнем ниже; подтвердил уверенно — уровнем выше; смена грейда не чаще раза в 90 дней, повтор уровня — через 30 дней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 в 7 дней кандидату предлагается задание его категории; оценка работодателя влияет на силу профиля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→ «Задания»; раздел 5.8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Связь профиля с ФСП ID; совместимость с Keycloak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/realms/&lt;realm&gt;/protocol/openid-connect/*</w:t>
            </w:r>
            <w:r>
              <w:rPr>
                <w:color w:val="1C1D22"/>
                <w:sz w:val="17"/>
                <w:szCs w:val="17"/>
              </w:rPr>
              <w:t xml:space="preserve">, реестр достижений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«Профиль и резюме»; раздел 5.9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Настройки: приватность, согласия, ФСП ID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/employer/candidates</w:t>
            </w:r>
            <w:r>
              <w:rPr>
                <w:color w:val="1C1D22"/>
                <w:sz w:val="17"/>
                <w:szCs w:val="17"/>
              </w:rPr>
              <w:t xml:space="preserve"> и фильтры подборки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Уточнение запроса без потери подборки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от ≤ до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подтверждением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Вакансии и отклики (дополнительно)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ML и NLP (преимущество)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OpenAPI, Docker, 152-ФЗ, адаптивная вёрстка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92 эндпоинта в Swagger;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docker compose up --build</w:t>
            </w:r>
            <w:r>
              <w:rPr>
                <w:color w:val="1C1D22"/>
                <w:sz w:val="17"/>
                <w:szCs w:val="17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7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 6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6"/>
        <w:gridCol w:w="6680"/>
        <w:gridCol w:w="1202"/>
      </w:tblGrid>
      <w:tr>
        <w:trPr>
          <w:cantSplit/>
          <w:tblHeader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заданий, предложение кандидатам, решения, проверка и влияние на профиль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 банка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7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6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сразу доступен тест уровнем ниже; прежний грейд, если он был, сохраняется. После присвоения категории кандидат получает приглашения, может откликаться на вакансии и раз в неделю получает регулярное задание.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без категории может откликаться на вакансии (работодатель видит пометку «без категории»), но не попадает в подборки — выдача строится только по категориям, присвоенным тестом.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7"/>
        <w:gridCol w:w="4300"/>
        <w:gridCol w:w="2081"/>
      </w:tblGrid>
      <w:tr>
        <w:trPr>
          <w:cantSplit/>
          <w:tblHeader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325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43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20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Пять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кодами). Суммарный лимит памяти — около 2 ГБ.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7"/>
        <w:gridCol w:w="5356"/>
        <w:gridCol w:w="3185"/>
      </w:tblGrid>
      <w:tr>
        <w:trPr>
          <w:cantSplit/>
          <w:tblHeader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0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3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8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7067"/>
      </w:tblGrid>
      <w:tr>
        <w:trPr>
          <w:cantSplit/>
          <w:tblHeader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5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и решения;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40 мс (p95 — 67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Фронтенд разделён на ленивые чанки по маршрутам: основной бандл — около 430 КБ.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5" w:id="1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5"/>
    </w:p>
    <w:p>
      <w:pPr>
        <w:pStyle w:val="Heading2"/>
        <w:keepNext/>
        <w:spacing w:after="120" w:before="280"/>
      </w:pPr>
      <w:bookmarkStart w:name="h16" w:id="1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отрасль, специализацию (7 направлений: Backend, Frontend, Fullstack, Data Science / ML, аналитик данных, DevOps / SRE, QA), основной язык программирования (Python, Java, Go, JavaScript / TypeScript — в зависимости от специализации), опыт и предполагаемый грейд. Грейдов четыре: стажёр, Junior, Middle, Senior. Кандидат сам выбирает уровень теста; рекомендуется заявленный в опросе.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черновики, подготовленные с помощью LLM и прошедшие ревью эксперта, — входят в банк как пилотные: показываются без влияния на оценку и калибруются по реальным ответам (раздел 4.6).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19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1"/>
        <w:gridCol w:w="2441"/>
        <w:gridCol w:w="5126"/>
      </w:tblGrid>
      <w:tr>
        <w:trPr>
          <w:cantSplit/>
          <w:tblHeader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4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сразу открывается тест уровнем выше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0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(с предложением теста уровнем выше в течение 7 дней)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 — он открывается сразу, без ожидания;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90 дней; повторная попытка того же уровня — через 30 дней; уверенно подтвердивший уровень может сразу пробовать следующий;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тест.</w:t>
      </w: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3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4" w:id="2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4"/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27" w:id="2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2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28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29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сигналы достижений агрегируются «шумным ИЛИ»: 1 − Π(1 − 0,85·sᵢ), плюс бонус за спортивный разряд (МС +0,15, КМС +0,10, I разряд +0,05), не больше 1. Сигнал достижения sᵢ = уровень × место × релевантность дисциплины специализации × свежесть: уровень — региональный 0,35, межрегиональный 0,5, всероссийский 0,8, международный 1,0; место — 1-е 1,0, 2-е 0,85, 3-е 0,7, финалист (топ-10%) 0,55, участие 0,25; релевантность — матрица «дисциплина ФСП × специализация» (например, продуктовое программирование для Backend — 1,0, алгоритмическое — 0,9); свежесть — период полураспада 3 года. Несколько средних результатов дают больше одного, но счёт насыщается.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призёр всероссийского чемпионата…»,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1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грейды): описание, критерии и, при желании, эталонное решение.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Решение получает предварительную автооценку близости к эталону,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Разбор PDF-резюме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4" w:id="3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4"/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2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36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37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38" w:id="3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3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0,837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3,5%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0,837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20,5%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0,857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0,853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0,837 до 0,717 и в 7,6 раза увеличивает долю «завысивших себя» в топ-10 (20,5% против 2,7%);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(0,837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0,837):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(0,837 против 0,857,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40 мс (p95 — 67 мс).</w:t>
      </w:r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3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0,013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Ограничения и план валидации на реальных данных</w:t>
      </w:r>
      <w:bookmarkEnd w:id="40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1" w:id="4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1"/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2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4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46" w:id="4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46"/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7" w:id="4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47"/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4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4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1" w:id="5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1"/>
    </w:p>
    <w:p>
      <w:pPr>
        <w:pStyle w:val="Heading2"/>
        <w:keepNext/>
        <w:spacing w:after="120" w:before="280"/>
      </w:pPr>
      <w:bookmarkStart w:name="h52" w:id="5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2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4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библиотеки и компоненты</w:t>
      </w:r>
      <w:bookmarkEnd w:id="56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559"/>
        <w:gridCol w:w="3400"/>
        <w:gridCol w:w="1771"/>
      </w:tblGrid>
      <w:tr>
        <w:trPr>
          <w:cantSplit/>
          <w:tblHeader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90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4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7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7" w:id="5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57"/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5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2 ГБ оперативной памяти.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20–30 секунд).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2"/>
        <w:gridCol w:w="5206"/>
      </w:tblGrid>
      <w:tr>
        <w:trPr>
          <w:cantSplit/>
          <w:tblHeader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443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2"/>
        <w:gridCol w:w="2034"/>
        <w:gridCol w:w="5122"/>
      </w:tblGrid>
      <w:tr>
        <w:trPr>
          <w:cantSplit/>
          <w:tblHeader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48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03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51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1" w:id="6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1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496 тестов: банк заданий (корректность всех генераторов и ключей), сквозной сценарий кандидата и работодателя, правила видимости, несколько резюме и категорий, прокторинг и штраф, принятие грейда ниже по тому же тесту, время по трудности,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2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2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Для виртуального сервера (2 vCPU, 4 ГБ RAM) достаточно того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docker-compose.yml</w:t>
      </w:r>
      <w:r>
        <w:rPr>
          <w:color w:val="1C1D22"/>
          <w:sz w:val="20"/>
          <w:szCs w:val="20"/>
        </w:rPr>
        <w:t xml:space="preserve">: задайте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PUBLIC_URL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</w:t>
      </w:r>
      <w:r>
        <w:rPr>
          <w:color w:val="1C1D22"/>
          <w:sz w:val="20"/>
          <w:szCs w:val="20"/>
        </w:rPr>
        <w:t xml:space="preserve"> с публичными адресами, смените секреты, отключите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 и укажите реальный SMTP, поставьте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TLS-терминатор (Caddy, nginx или балансировщик облака). Для масштабирования бэкенд запускается несколькими репликами — состояние хранится в PostgreSQL.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3" w:id="63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План развития</w:t>
      </w:r>
      <w:bookmarkEnd w:id="63"/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семейств, задания с исполнением кода в песочнице, конвейер «черновик LLM → ревью эксперта → пилотное задание → калибровка».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8aa3cd6cf179a1a4ecf2887fcde3653a51601b79.png"/><Relationship Id="rId11" Type="http://schemas.openxmlformats.org/officeDocument/2006/relationships/image" Target="media/be71d45ecddfc77b2aeb851d34934e102c946483.png"/><Relationship Id="rId12" Type="http://schemas.openxmlformats.org/officeDocument/2006/relationships/image" Target="media/5f00e0d680c8864493949384486a2fb56828fb91.png"/><Relationship Id="rId13" Type="http://schemas.openxmlformats.org/officeDocument/2006/relationships/image" Target="media/70487b68b6c44f5bbe6079e546dcbf83243c4b29.png"/><Relationship Id="rId14" Type="http://schemas.openxmlformats.org/officeDocument/2006/relationships/image" Target="media/456cca57383db66d9cec4032269cb43de8223f5d.png"/><Relationship Id="rId15" Type="http://schemas.openxmlformats.org/officeDocument/2006/relationships/image" Target="media/a4034b3ad8f061767da97d679827cc668d589976.png"/><Relationship Id="rId16" Type="http://schemas.openxmlformats.org/officeDocument/2006/relationships/image" Target="media/2601f41e78875764f617915b34a29b62087bc506.png"/><Relationship Id="rId17" Type="http://schemas.openxmlformats.org/officeDocument/2006/relationships/image" Target="media/1208131f1077eaf90b2b0d922489eee5168c8f11.png"/><Relationship Id="rId18" Type="http://schemas.openxmlformats.org/officeDocument/2006/relationships/image" Target="media/a8218d30fa851ebe8be89d2176bcdf30004ece6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2026-10-05T16:09:38.465Z</dcterms:created>
  <dcterms:modified xsi:type="dcterms:W3CDTF">2026-10-05T16:09:38.465Z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