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80"/>
      </w:pPr>
      <w:r>
        <w:rPr>
          <w:color w:val="1C1D22"/>
          <w:sz w:val="22"/>
          <w:szCs w:val="22"/>
        </w:rPr>
        <w:t xml:space="preserve">Команда «Рекрут 2»: Мурехин Ярослав Андреевич (капитан), Воронин Артём Тимофеевич</w:t>
      </w:r>
    </w:p>
    <w:p>
      <w:pPr>
        <w:spacing w:after="1400"/>
      </w:pPr>
      <w:r>
        <w:rPr>
          <w:color w:val="5B6475"/>
          <w:sz w:val="22"/>
          <w:szCs w:val="22"/>
        </w:rPr>
        <w:t xml:space="preserve">Версия 1.5 · 9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0,835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0,750)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3,1%</w:t>
      </w:r>
      <w:r>
        <w:rPr>
          <w:color w:val="5B6475"/>
          <w:sz w:val="18"/>
          <w:szCs w:val="18"/>
        </w:rPr>
        <w:t xml:space="preserve">  завышения грейда по тесту против 35,7%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800</w:t>
      </w:r>
      <w:r>
        <w:rPr>
          <w:color w:val="5B6475"/>
          <w:sz w:val="18"/>
          <w:szCs w:val="18"/>
        </w:rPr>
        <w:t xml:space="preserve">  одновременных пользователей без ошибок в нагрузочном тесте на одной машине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104</w:t>
      </w:r>
      <w:r>
        <w:rPr>
          <w:color w:val="5B6475"/>
          <w:sz w:val="18"/>
          <w:szCs w:val="18"/>
        </w:rPr>
        <w:t xml:space="preserve">  метода API в OpenAPI, 521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5">
        <w:r>
          <w:rPr>
            <w:b w:val="false"/>
            <w:bCs w:val="false"/>
            <w:color w:val="1C1D22"/>
            <w:sz w:val="18"/>
            <w:szCs w:val="18"/>
          </w:rPr>
          <w:t xml:space="preserve">3.5. Нагрузочное тестирование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6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7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8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6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2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4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9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0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4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5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51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5"/>
        <w:gridCol w:w="3853"/>
        <w:gridCol w:w="1940"/>
      </w:tblGrid>
      <w:tr>
        <w:trPr>
          <w:cantSplit/>
          <w:tblHeader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Зарплата: явно подписать, гросс или нетто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LLM: описать, какие модели, как и зачем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104 эндпоинта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  <w:tr>
        <w:trPr>
          <w:cantSplit/>
          <w:tblHeader w:val="off"/>
        </w:trPr>
        <w:tc>
          <w:tcPr>
            <w:tcW w:type="dxa" w:w="38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Нагрузочное тестирование</w:t>
            </w:r>
          </w:p>
        </w:tc>
        <w:tc>
          <w:tcPr>
            <w:tcW w:type="dxa" w:w="385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Locust: смешанная нагрузка, день тестирования, ступенчатая нагрузка; найдены и устранены взаимоблокировка пулов, тяжёлые запросы и рост памяти; после оптимизации — 800 одновременных пользователей без ошибок на одной машине</w:t>
            </w:r>
          </w:p>
        </w:tc>
        <w:tc>
          <w:tcPr>
            <w:tcW w:type="dxa" w:w="194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3.5;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loadtest/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3 ГБ, из них 1,5 ГБ — бэкенд (два процесса uvicorn).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Бэкенд работает в двух процессах uvicorn, у каждого — пул из 40 соединений с БД по числу потоков обработчиков; результаты нагрузочного тестирования — раздел 3.5.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pPr>
        <w:pStyle w:val="Heading2"/>
        <w:keepNext/>
        <w:spacing w:after="120" w:before="280"/>
      </w:pPr>
      <w:bookmarkStart w:name="h15" w:id="1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3.5. Нагрузочное тестирование</w:t>
      </w:r>
      <w:bookmarkEnd w:id="15"/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Методика.</w:t>
      </w:r>
      <w:r>
        <w:rPr>
          <w:color w:val="1C1D22"/>
          <w:sz w:val="20"/>
          <w:szCs w:val="20"/>
        </w:rPr>
        <w:t xml:space="preserve"> Сценарии на Locust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</w:t>
      </w:r>
      <w:r>
        <w:rPr>
          <w:color w:val="1C1D22"/>
          <w:sz w:val="20"/>
          <w:szCs w:val="20"/>
        </w:rPr>
        <w:t xml:space="preserve">): виртуальные пользователи ходят через nginx стенда с теми же запросами, что и интерфейс. Роли: посетители главной (25%), кандидаты в кабинете (33%), кандидаты, проходящие тест (25%: полный адаптивный или экспресс, пауза на ответ сжата до 3–10 секунд), работодатели (17%: подборки, поиск по банку, карточки, новая подборка по тексту потребности). Учётные записи — 700 синтетических кандидатов и 5 компаний демо-данных. Стенд — тот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</w:t>
      </w:r>
      <w:r>
        <w:rPr>
          <w:color w:val="1C1D22"/>
          <w:sz w:val="20"/>
          <w:szCs w:val="20"/>
        </w:rPr>
        <w:t xml:space="preserve"> на одной машине вместе с генератором нагрузки (AMD Ryzen 5 7500F, 6 ядер; Docker — 12 vCPU, 15,5 ГБ), каждый прогон — на копии стенда с чистыми данными. Клиент отправляет заголовки и небольшое тело запроса одной записью, как браузер: иначе проброс портов Docker Desktop добавляет к каждому POST ≈ 42 мс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 Исходная версия измерена тем же клиентом на коде коммита без исправлений.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7577"/>
      </w:tblGrid>
      <w:tr>
        <w:trPr>
          <w:cantSplit/>
          <w:tblHeader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Нагрузка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одновременных пользователей всех ролей, 5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кандидатов одновременно проходят тест, 6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+100 пользователей каждые 90 секунд до 800 (исходная версия — до 600) — поиск предела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Что нашёл тест.</w:t>
      </w:r>
      <w:r>
        <w:rPr>
          <w:color w:val="1C1D22"/>
          <w:sz w:val="20"/>
          <w:szCs w:val="20"/>
        </w:rPr>
        <w:t xml:space="preserve"> Исходная версия держала ровную нагрузку до 200 пользователей (на ступенчатом прогоне — 78 запросов в секунду, p95 160 мс), но при всплеске одновременных запросов зависала: в смешанном сценарии первые ошибки по таймауту — на 61-й секунде, на ступенчатом — отказ на 300 пользователях. За 5 минут смешанного сценария — 18,3% ошибок и p95 120 с. Причины и исправления: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Взаимоблокировка пула потоков и пула соединений.</w:t>
      </w:r>
      <w:r>
        <w:rPr>
          <w:color w:val="1C1D22"/>
          <w:sz w:val="20"/>
          <w:szCs w:val="20"/>
        </w:rPr>
        <w:t xml:space="preserve"> Синхронные обработчики FastAPI выполняются в пуле из 40 потоков, а соединений с БД было 15. При всплеске все потоки занимали запросы, ждущие соединение, а закрытие сессии — тоже в пуле потоков — не могло его вернуть: сервер висел до таймаута пула (30 секунд). Исправление: пул соединений по числу потоков (40 на процесс) и закрытие сессии асинхронной зависимостью, которой не нужен свободный поток.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Тяжёлые запросы списков.</w:t>
      </w:r>
      <w:r>
        <w:rPr>
          <w:color w:val="1C1D22"/>
          <w:sz w:val="20"/>
          <w:szCs w:val="20"/>
        </w:rPr>
        <w:t xml:space="preserve"> История подборок читала полные результаты каждой подборки (сотни кандидатов в JSON) ради их числа — теперь его считает БД; сводка работодателя загружала весь пул кандидатов ради одного числа — кэш на минуту; «просмотры профиля за 30 дней» перебирали журнал аудита — составной индекс.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Повторяющиеся вычисления.</w:t>
      </w:r>
      <w:r>
        <w:rPr>
          <w:color w:val="1C1D22"/>
          <w:sz w:val="20"/>
          <w:szCs w:val="20"/>
        </w:rPr>
        <w:t xml:space="preserve"> Параметры заданий для адаптивного выбора читались из БД на каждый ответ — кэш на 10 секунд, сбрасывается калибровкой и выводом заданий из ротации; методика и справочники для каждой страницы сериализуются один раз, статистика главной — кэш на 30 секунд.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ядер.</w:t>
      </w:r>
      <w:r>
        <w:rPr>
          <w:color w:val="1C1D22"/>
          <w:sz w:val="20"/>
          <w:szCs w:val="20"/>
        </w:rPr>
        <w:t xml:space="preserve"> Два процесса uvicorn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WEB_CONCURRENCY</w:t>
      </w:r>
      <w:r>
        <w:rPr>
          <w:color w:val="1C1D22"/>
          <w:sz w:val="20"/>
          <w:szCs w:val="20"/>
        </w:rPr>
        <w:t xml:space="preserve">); подготовка БД при старте выполняется под advisory-блокировкой PostgreSQL, вопросы из черновиков LLM, принятые в одном процессе, подхватываются остальными. Argon2id — с параметрами OWASP (19 МиБ на проверку пароля вместо 64 МиБ): одновременные входы не съедают память.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Память.</w:t>
      </w:r>
      <w:r>
        <w:rPr>
          <w:color w:val="1C1D22"/>
          <w:sz w:val="20"/>
          <w:szCs w:val="20"/>
        </w:rPr>
        <w:t xml:space="preserve"> На первом прогоне после исправлений память бэкенда росла примерно на 100 МБ с каждой сотней пользователей и на 700 упёрлась в лимит контейнера: распределитель памяти glibc заводит отдельную арену почти на каждый из 40 потоков процесса, и арены фрагментируются. Исправления: число арен ограничено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MALLOC_ARENA_MAX=2</w:t>
      </w:r>
      <w:r>
        <w:rPr>
          <w:color w:val="1C1D22"/>
          <w:sz w:val="20"/>
          <w:szCs w:val="20"/>
        </w:rPr>
        <w:t xml:space="preserve">), текст PDF-резюме не загружается вместе с профилем (подбору он не нужен), лимит контейнера бэкенда — 1,5 ГБ на два процесса. Итог: память больше не растёт с нагрузкой — 898 МБ при 300 пользователях и 859 МБ при 800.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Первый запуск.</w:t>
      </w:r>
      <w:r>
        <w:rPr>
          <w:color w:val="1C1D22"/>
          <w:sz w:val="20"/>
          <w:szCs w:val="20"/>
        </w:rPr>
        <w:t xml:space="preserve"> На чистой БД наполнение демо-данными может идти дольше, чем ждала проверка готовности бэкенда, и тогда Docker Compose не запускал фронтенд — окно проверки увеличено до 5 минут.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Результаты после оптимизации.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3"/>
        <w:gridCol w:w="1566"/>
        <w:gridCol w:w="2239"/>
      </w:tblGrid>
      <w:tr>
        <w:trPr>
          <w:cantSplit/>
          <w:tblHeader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нагрузка, 300 пользователей: запросов в секунду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9,2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110,1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ошибок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18,3%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0,0%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время ответа p50 / p95 / p99,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65 / 120 000 / 120 000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/ 50 / 120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нагрузка: устойчиво (без ошибок, p95 ≤ 1 с)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200 пользователей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800 (верхняя ступень прогона)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тестирования, 300 кандидатов: ответ на задание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 / 19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Новая подборка по тексту (NLP + ранжирование)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180 / 380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28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Ступенчатая нагрузка: пропускная способность и 95-й перцентиль времени ответа до и после оптимизации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После оптимизации на ступени 800 пользователей стенд обрабатывает 292 запроса в секунду при p95 390 мс; пик загрузки бэкенда — 275% CPU (два процесса), память — 859 МБ из 1 536. Пауза между действиями виртуального пользователя — 3–15 секунд, у живого человека она дольше, поэтому одна машина держит заметно больше реальных пользователей, чем виртуальных. Дальше бэкенд масштабируется репликами за балансировщиком (состояние — в PostgreSQL), а для нескольких реплик лимиты попыток и кэши переносятся в Redis, соединения к БД — через PgBouncer. Повторить прогон: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; сводки и CSV Locust по каждому сценарию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loadtest/results/</w:t>
      </w:r>
      <w:r>
        <w:rPr>
          <w:color w:val="1C1D22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6" w:id="1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6"/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2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7" w:id="2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7"/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2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6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8" w:id="3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8"/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1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6" w:id="4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6"/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7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15.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5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2" w:id="5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2"/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6"/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 с параметрами OWASP (19 МиБ, 2 прохода): хеши со старыми параметрами пересчитываются при входе;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4" w:id="6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4"/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3 ГБ оперативной памяти.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около 40 секунд).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3"/>
        <w:gridCol w:w="2518"/>
        <w:gridCol w:w="5137"/>
      </w:tblGrid>
      <w:tr>
        <w:trPr>
          <w:cantSplit/>
          <w:tblHeader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WEB_CONCURRENCY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процессов uvicorn в контейнере бэкенда; каждый держит свои NLP-модели (≈ 0,3 ГБ), пул потоков и пул соединений с БД (раздел 3.5)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19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51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51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521 тест: банк заданий (корректность всех генераторов и ключей), сквозной сценарий кандидата и работодателя, пересчёт хеша пароля со старыми параметрами при входе,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loadtest/run.py &lt;сценарий&gt;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loadtest/report.py</w:t>
      </w:r>
      <w:r>
        <w:rPr>
          <w:color w:val="1C1D22"/>
          <w:sz w:val="20"/>
          <w:szCs w:val="20"/>
        </w:rPr>
        <w:t xml:space="preserve"> — нагрузочное тестирование на копии стенда (раздел 3.5,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docs/build/video/record_demo.js &lt;out.mp4&gt; --ffmpeg &lt;путь к ffmpeg&gt;</w:t>
      </w:r>
      <w:r>
        <w:rPr>
          <w:color w:val="1C1D22"/>
          <w:sz w:val="20"/>
          <w:szCs w:val="20"/>
        </w:rPr>
        <w:t xml:space="preserve"> — демонстрационное видео: Chrome headless проходит сценарий по работающему стенду, поверх интерфейса — подписи шагов и курсор.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9" w:id="6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0" w:id="7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2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4" w:id="7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5" w:id="7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5"/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7e39a4d395d0b575e5ff4ba627b6385cd53cc35d.png"/><Relationship Id="rId12" Type="http://schemas.openxmlformats.org/officeDocument/2006/relationships/image" Target="media/be71d45ecddfc77b2aeb851d34934e102c946483.png"/><Relationship Id="rId13" Type="http://schemas.openxmlformats.org/officeDocument/2006/relationships/image" Target="media/5f00e0d680c8864493949384486a2fb56828fb91.png"/><Relationship Id="rId14" Type="http://schemas.openxmlformats.org/officeDocument/2006/relationships/image" Target="media/7ed6f3950764937aba4eef6312618ff3a4a26b5a.png"/><Relationship Id="rId15" Type="http://schemas.openxmlformats.org/officeDocument/2006/relationships/image" Target="media/9d6e1021076b394aaa52290c0e99f4d6f02e69f6.png"/><Relationship Id="rId16" Type="http://schemas.openxmlformats.org/officeDocument/2006/relationships/image" Target="media/70487b68b6c44f5bbe6079e546dcbf83243c4b29.png"/><Relationship Id="rId17" Type="http://schemas.openxmlformats.org/officeDocument/2006/relationships/image" Target="media/609ab6b7dc5e197acd220511a906820c9a350b19.png"/><Relationship Id="rId18" Type="http://schemas.openxmlformats.org/officeDocument/2006/relationships/image" Target="media/9fd81ac4f116d8e927184c68c8d349779ab9ef1d.png"/><Relationship Id="rId19" Type="http://schemas.openxmlformats.org/officeDocument/2006/relationships/image" Target="media/6fc2ccade5a919db27e8b8ac75235dbc3540dca6.png"/><Relationship Id="rId20" Type="http://schemas.openxmlformats.org/officeDocument/2006/relationships/image" Target="media/456cca57383db66d9cec4032269cb43de8223f5d.png"/><Relationship Id="rId21" Type="http://schemas.openxmlformats.org/officeDocument/2006/relationships/image" Target="media/a4034b3ad8f061767da97d679827cc668d589976.png"/><Relationship Id="rId22" Type="http://schemas.openxmlformats.org/officeDocument/2006/relationships/image" Target="media/2601f41e78875764f617915b34a29b62087bc506.png"/><Relationship Id="rId23" Type="http://schemas.openxmlformats.org/officeDocument/2006/relationships/image" Target="media/6c5ed262504e5a580d069dbb04883802b66569c8.png"/><Relationship Id="rId24" Type="http://schemas.openxmlformats.org/officeDocument/2006/relationships/image" Target="media/a8218d30fa851ebe8be89d2176bcdf30004ece67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2026-10-09T05:35:14.067Z</dcterms:created>
  <dcterms:modified xsi:type="dcterms:W3CDTF">2026-10-09T05:35:14.067Z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