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16B380" w14:textId="77777777" w:rsidR="00DC17C2" w:rsidRPr="00D1249D" w:rsidRDefault="00DC17C2" w:rsidP="00D1249D">
      <w:pPr>
        <w:pStyle w:val="Heading1"/>
      </w:pPr>
      <w:r w:rsidRPr="00D1249D">
        <w:t xml:space="preserve">Rapport til </w:t>
      </w:r>
      <w:proofErr w:type="spellStart"/>
      <w:r w:rsidRPr="00D1249D">
        <w:t>oblig</w:t>
      </w:r>
      <w:proofErr w:type="spellEnd"/>
      <w:r w:rsidRPr="00D1249D">
        <w:t xml:space="preserve"> 2</w:t>
      </w:r>
    </w:p>
    <w:p w14:paraId="3EF127FE" w14:textId="77777777" w:rsidR="00DC17C2" w:rsidRPr="00D1249D" w:rsidRDefault="00DC17C2" w:rsidP="00DC17C2">
      <w:pPr>
        <w:pStyle w:val="NoSpacing"/>
        <w:rPr>
          <w:lang w:val="nb-NO"/>
        </w:rPr>
      </w:pPr>
    </w:p>
    <w:p w14:paraId="449803BB" w14:textId="77777777" w:rsidR="00DC17C2" w:rsidRDefault="00DC17C2" w:rsidP="00DC17C2">
      <w:pPr>
        <w:pStyle w:val="NoSpacing"/>
        <w:rPr>
          <w:lang w:val="nb-NO"/>
        </w:rPr>
      </w:pPr>
      <w:r w:rsidRPr="00D1249D">
        <w:rPr>
          <w:lang w:val="nb-NO"/>
        </w:rPr>
        <w:t>Denne obligatoriske innleveringen består av 2 oppgaver.</w:t>
      </w:r>
    </w:p>
    <w:p w14:paraId="16D3E937" w14:textId="77777777" w:rsidR="00D1249D" w:rsidRPr="00D1249D" w:rsidRDefault="00D1249D" w:rsidP="00D1249D">
      <w:pPr>
        <w:pStyle w:val="Heading2"/>
      </w:pPr>
      <w:r>
        <w:t>Oppgave 1</w:t>
      </w:r>
    </w:p>
    <w:p w14:paraId="5AA69302" w14:textId="77777777" w:rsidR="00DC17C2" w:rsidRPr="00D1249D" w:rsidRDefault="00DC17C2" w:rsidP="00DC17C2">
      <w:pPr>
        <w:pStyle w:val="NoSpacing"/>
        <w:rPr>
          <w:lang w:val="nb-NO"/>
        </w:rPr>
      </w:pPr>
      <w:r w:rsidRPr="00D1249D">
        <w:rPr>
          <w:lang w:val="nb-NO"/>
        </w:rPr>
        <w:t xml:space="preserve">I oppgave 1 skulle vi implementere </w:t>
      </w:r>
      <w:proofErr w:type="spellStart"/>
      <w:r w:rsidRPr="00D1249D">
        <w:rPr>
          <w:lang w:val="nb-NO"/>
        </w:rPr>
        <w:t>quicksort</w:t>
      </w:r>
      <w:proofErr w:type="spellEnd"/>
      <w:r w:rsidRPr="00D1249D">
        <w:rPr>
          <w:lang w:val="nb-NO"/>
        </w:rPr>
        <w:t xml:space="preserve"> og </w:t>
      </w:r>
      <w:proofErr w:type="spellStart"/>
      <w:r w:rsidRPr="00D1249D">
        <w:rPr>
          <w:lang w:val="nb-NO"/>
        </w:rPr>
        <w:t>randomizedQuicksort</w:t>
      </w:r>
      <w:proofErr w:type="spellEnd"/>
      <w:r w:rsidRPr="00D1249D">
        <w:rPr>
          <w:lang w:val="nb-NO"/>
        </w:rPr>
        <w:t>. I figur 1 nedenfor kan man se en graf som viser kjøretid for ulike usorterte mengder. Jeg testet begge algoritmene med 10 elementer, 100 elementer, 1 000 elementer, 10000 elementer, 100000 elementer og 1000000 elementer. Resultatene nedenfor er målt ut ifra tiden det tok å kjøre algoritmene.</w:t>
      </w:r>
    </w:p>
    <w:p w14:paraId="43629E20" w14:textId="77777777" w:rsidR="00DC17C2" w:rsidRPr="00D1249D" w:rsidRDefault="00DC17C2" w:rsidP="00DC17C2">
      <w:pPr>
        <w:pStyle w:val="NoSpacing"/>
        <w:rPr>
          <w:lang w:val="nb-NO"/>
        </w:rPr>
      </w:pPr>
    </w:p>
    <w:p w14:paraId="395908C4" w14:textId="77777777" w:rsidR="00DC17C2" w:rsidRPr="00D1249D" w:rsidRDefault="00DC17C2" w:rsidP="00DC17C2">
      <w:pPr>
        <w:pStyle w:val="NoSpacing"/>
        <w:rPr>
          <w:lang w:val="nb-NO"/>
        </w:rPr>
      </w:pPr>
      <w:r w:rsidRPr="00D1249D">
        <w:rPr>
          <w:i/>
          <w:lang w:val="nb-NO"/>
        </w:rPr>
        <w:t xml:space="preserve">Figur 1.1: Sammenligning mellom </w:t>
      </w:r>
      <w:proofErr w:type="spellStart"/>
      <w:r w:rsidRPr="00D1249D">
        <w:rPr>
          <w:i/>
          <w:lang w:val="nb-NO"/>
        </w:rPr>
        <w:t>quicksort</w:t>
      </w:r>
      <w:proofErr w:type="spellEnd"/>
      <w:r w:rsidRPr="00D1249D">
        <w:rPr>
          <w:i/>
          <w:lang w:val="nb-NO"/>
        </w:rPr>
        <w:t xml:space="preserve">, </w:t>
      </w:r>
      <w:proofErr w:type="spellStart"/>
      <w:r w:rsidRPr="00D1249D">
        <w:rPr>
          <w:i/>
          <w:lang w:val="nb-NO"/>
        </w:rPr>
        <w:t>randomizeQuicksort</w:t>
      </w:r>
      <w:proofErr w:type="spellEnd"/>
      <w:r w:rsidRPr="00D1249D">
        <w:rPr>
          <w:i/>
          <w:lang w:val="nb-NO"/>
        </w:rPr>
        <w:t>, i</w:t>
      </w:r>
      <w:r w:rsidR="00EE7ADA" w:rsidRPr="00D1249D">
        <w:rPr>
          <w:i/>
          <w:lang w:val="nb-NO"/>
        </w:rPr>
        <w:t>n</w:t>
      </w:r>
      <w:r w:rsidRPr="00D1249D">
        <w:rPr>
          <w:i/>
          <w:lang w:val="nb-NO"/>
        </w:rPr>
        <w:t>nsettingssortering (</w:t>
      </w:r>
      <w:proofErr w:type="spellStart"/>
      <w:r w:rsidRPr="00D1249D">
        <w:rPr>
          <w:i/>
          <w:lang w:val="nb-NO"/>
        </w:rPr>
        <w:t>insertion</w:t>
      </w:r>
      <w:proofErr w:type="spellEnd"/>
      <w:r w:rsidRPr="00D1249D">
        <w:rPr>
          <w:i/>
          <w:lang w:val="nb-NO"/>
        </w:rPr>
        <w:t xml:space="preserve"> sort) og flettesortering (</w:t>
      </w:r>
      <w:proofErr w:type="spellStart"/>
      <w:r w:rsidRPr="00D1249D">
        <w:rPr>
          <w:i/>
          <w:lang w:val="nb-NO"/>
        </w:rPr>
        <w:t>merge</w:t>
      </w:r>
      <w:proofErr w:type="spellEnd"/>
      <w:r w:rsidRPr="00D1249D">
        <w:rPr>
          <w:i/>
          <w:lang w:val="nb-NO"/>
        </w:rPr>
        <w:t xml:space="preserve"> sort). Hele grafen til in</w:t>
      </w:r>
      <w:r w:rsidR="00EE7ADA" w:rsidRPr="00D1249D">
        <w:rPr>
          <w:i/>
          <w:lang w:val="nb-NO"/>
        </w:rPr>
        <w:t>n</w:t>
      </w:r>
      <w:r w:rsidRPr="00D1249D">
        <w:rPr>
          <w:i/>
          <w:lang w:val="nb-NO"/>
        </w:rPr>
        <w:t>settingssorteringen ses i figur 1.2.</w:t>
      </w:r>
    </w:p>
    <w:p w14:paraId="27B22A8F" w14:textId="77777777" w:rsidR="00DC17C2" w:rsidRPr="00D1249D" w:rsidRDefault="0092528F" w:rsidP="00DC17C2">
      <w:pPr>
        <w:pStyle w:val="NoSpacing"/>
        <w:rPr>
          <w:lang w:val="nb-NO"/>
        </w:rPr>
      </w:pPr>
      <w:r w:rsidRPr="00D1249D">
        <w:rPr>
          <w:lang w:val="nb-NO"/>
        </w:rPr>
        <w:drawing>
          <wp:inline distT="0" distB="0" distL="0" distR="0" wp14:anchorId="6393E3B4" wp14:editId="3B934BA7">
            <wp:extent cx="5270500" cy="3548437"/>
            <wp:effectExtent l="0" t="0" r="12700" b="330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917843E" w14:textId="77777777" w:rsidR="00DC17C2" w:rsidRPr="00D1249D" w:rsidRDefault="00DC17C2" w:rsidP="00DC17C2">
      <w:pPr>
        <w:pStyle w:val="NoSpacing"/>
        <w:rPr>
          <w:i/>
          <w:lang w:val="nb-NO"/>
        </w:rPr>
      </w:pPr>
      <w:r w:rsidRPr="00D1249D">
        <w:rPr>
          <w:i/>
          <w:lang w:val="nb-NO"/>
        </w:rPr>
        <w:t>Figur 1.2: Graf som viser tidsbruken til in</w:t>
      </w:r>
      <w:r w:rsidR="00EE7ADA" w:rsidRPr="00D1249D">
        <w:rPr>
          <w:i/>
          <w:lang w:val="nb-NO"/>
        </w:rPr>
        <w:t>n</w:t>
      </w:r>
      <w:r w:rsidRPr="00D1249D">
        <w:rPr>
          <w:i/>
          <w:lang w:val="nb-NO"/>
        </w:rPr>
        <w:t>settingssortering</w:t>
      </w:r>
      <w:r w:rsidR="00EE7ADA" w:rsidRPr="00D1249D">
        <w:rPr>
          <w:i/>
          <w:lang w:val="nb-NO"/>
        </w:rPr>
        <w:t>.</w:t>
      </w:r>
    </w:p>
    <w:p w14:paraId="163925A1" w14:textId="77777777" w:rsidR="00DC17C2" w:rsidRPr="00D1249D" w:rsidRDefault="00DC17C2" w:rsidP="00DC17C2">
      <w:pPr>
        <w:pStyle w:val="NoSpacing"/>
        <w:rPr>
          <w:lang w:val="nb-NO"/>
        </w:rPr>
      </w:pPr>
      <w:r w:rsidRPr="00D1249D">
        <w:rPr>
          <w:lang w:val="nb-NO"/>
        </w:rPr>
        <w:drawing>
          <wp:inline distT="0" distB="0" distL="0" distR="0" wp14:anchorId="1CCA28A7" wp14:editId="12864020">
            <wp:extent cx="4572000" cy="274320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9654291" w14:textId="77777777" w:rsidR="00DC17C2" w:rsidRPr="00D1249D" w:rsidRDefault="00DC17C2" w:rsidP="00DC17C2">
      <w:pPr>
        <w:pStyle w:val="NoSpacing"/>
        <w:rPr>
          <w:lang w:val="nb-NO"/>
        </w:rPr>
      </w:pPr>
    </w:p>
    <w:p w14:paraId="2CB78D8B" w14:textId="77777777" w:rsidR="0092528F" w:rsidRPr="00D1249D" w:rsidRDefault="0092528F" w:rsidP="00DC17C2">
      <w:pPr>
        <w:pStyle w:val="NoSpacing"/>
        <w:rPr>
          <w:lang w:val="nb-NO"/>
        </w:rPr>
      </w:pPr>
    </w:p>
    <w:p w14:paraId="18BDD14F" w14:textId="77777777" w:rsidR="0092528F" w:rsidRPr="00D1249D" w:rsidRDefault="0092528F" w:rsidP="00DC17C2">
      <w:pPr>
        <w:pStyle w:val="NoSpacing"/>
        <w:rPr>
          <w:lang w:val="nb-NO"/>
        </w:rPr>
      </w:pPr>
    </w:p>
    <w:p w14:paraId="451385F0" w14:textId="77777777" w:rsidR="0092528F" w:rsidRPr="00D1249D" w:rsidRDefault="0092528F" w:rsidP="00DC17C2">
      <w:pPr>
        <w:pStyle w:val="NoSpacing"/>
        <w:rPr>
          <w:lang w:val="nb-NO"/>
        </w:rPr>
      </w:pPr>
    </w:p>
    <w:p w14:paraId="1906118C" w14:textId="77777777" w:rsidR="00DC17C2" w:rsidRPr="00D1249D" w:rsidRDefault="00DC17C2" w:rsidP="00DC17C2">
      <w:pPr>
        <w:pStyle w:val="NoSpacing"/>
        <w:rPr>
          <w:lang w:val="nb-NO"/>
        </w:rPr>
      </w:pPr>
      <w:r w:rsidRPr="00D1249D">
        <w:rPr>
          <w:lang w:val="nb-NO"/>
        </w:rPr>
        <w:t xml:space="preserve">Etter å ha testet de ulike usorterte elementene, genererte jeg nye filer med 10, 100, 1000, 10000, 100000, 500000 og 1000000 elementer, men denne gangen sørget jeg for at elementene var </w:t>
      </w:r>
      <w:r w:rsidRPr="00D1249D">
        <w:rPr>
          <w:i/>
          <w:iCs/>
          <w:lang w:val="nb-NO"/>
        </w:rPr>
        <w:t>omvendt</w:t>
      </w:r>
      <w:r w:rsidRPr="00D1249D">
        <w:rPr>
          <w:lang w:val="nb-NO"/>
        </w:rPr>
        <w:t xml:space="preserve"> sortert, altså at det største elementet kom først, så det nest største, etc</w:t>
      </w:r>
      <w:r w:rsidR="00EE7ADA" w:rsidRPr="00D1249D">
        <w:rPr>
          <w:lang w:val="nb-NO"/>
        </w:rPr>
        <w:t>.</w:t>
      </w:r>
      <w:r w:rsidRPr="00D1249D">
        <w:rPr>
          <w:lang w:val="nb-NO"/>
        </w:rPr>
        <w:t xml:space="preserve">, hele veien ned til det siste som da var det minste elementet, for så å måle tiden det tok å kjøre </w:t>
      </w:r>
      <w:proofErr w:type="spellStart"/>
      <w:r w:rsidRPr="00D1249D">
        <w:rPr>
          <w:lang w:val="nb-NO"/>
        </w:rPr>
        <w:t>quicksort</w:t>
      </w:r>
      <w:proofErr w:type="spellEnd"/>
      <w:r w:rsidRPr="00D1249D">
        <w:rPr>
          <w:lang w:val="nb-NO"/>
        </w:rPr>
        <w:t xml:space="preserve"> og </w:t>
      </w:r>
      <w:proofErr w:type="spellStart"/>
      <w:r w:rsidRPr="00D1249D">
        <w:rPr>
          <w:lang w:val="nb-NO"/>
        </w:rPr>
        <w:t>randomizeQuicksort</w:t>
      </w:r>
      <w:proofErr w:type="spellEnd"/>
      <w:r w:rsidRPr="00D1249D">
        <w:rPr>
          <w:lang w:val="nb-NO"/>
        </w:rPr>
        <w:t xml:space="preserve"> for å sortere elementene slik at det minste elementet kommer først. Da jeg kjørte </w:t>
      </w:r>
      <w:proofErr w:type="spellStart"/>
      <w:r w:rsidRPr="00D1249D">
        <w:rPr>
          <w:lang w:val="nb-NO"/>
        </w:rPr>
        <w:t>quicksort</w:t>
      </w:r>
      <w:proofErr w:type="spellEnd"/>
      <w:r w:rsidRPr="00D1249D">
        <w:rPr>
          <w:lang w:val="nb-NO"/>
        </w:rPr>
        <w:t xml:space="preserve"> med en mengde større enn 10 000 omvendt sorterte elementer, måtte jeg legge til et ekstra argument, -</w:t>
      </w:r>
      <w:proofErr w:type="spellStart"/>
      <w:r w:rsidRPr="00D1249D">
        <w:rPr>
          <w:lang w:val="nb-NO"/>
        </w:rPr>
        <w:t>XssXm</w:t>
      </w:r>
      <w:proofErr w:type="spellEnd"/>
      <w:r w:rsidRPr="00D1249D">
        <w:rPr>
          <w:lang w:val="nb-NO"/>
        </w:rPr>
        <w:t xml:space="preserve"> under kjøring for å unngå en </w:t>
      </w:r>
      <w:proofErr w:type="spellStart"/>
      <w:r w:rsidRPr="00D1249D">
        <w:rPr>
          <w:lang w:val="nb-NO"/>
        </w:rPr>
        <w:t>stack</w:t>
      </w:r>
      <w:proofErr w:type="spellEnd"/>
      <w:r w:rsidRPr="00D1249D">
        <w:rPr>
          <w:lang w:val="nb-NO"/>
        </w:rPr>
        <w:t xml:space="preserve"> </w:t>
      </w:r>
      <w:proofErr w:type="spellStart"/>
      <w:r w:rsidRPr="00D1249D">
        <w:rPr>
          <w:lang w:val="nb-NO"/>
        </w:rPr>
        <w:t>overflow</w:t>
      </w:r>
      <w:proofErr w:type="spellEnd"/>
      <w:r w:rsidRPr="00D1249D">
        <w:rPr>
          <w:lang w:val="nb-NO"/>
        </w:rPr>
        <w:t xml:space="preserve"> </w:t>
      </w:r>
      <w:proofErr w:type="spellStart"/>
      <w:r w:rsidRPr="00D1249D">
        <w:rPr>
          <w:lang w:val="nb-NO"/>
        </w:rPr>
        <w:t>error</w:t>
      </w:r>
      <w:proofErr w:type="spellEnd"/>
      <w:r w:rsidRPr="00D1249D">
        <w:rPr>
          <w:lang w:val="nb-NO"/>
        </w:rPr>
        <w:t xml:space="preserve">. For å kunne kjøre denne sorteringen på 1 000 </w:t>
      </w:r>
      <w:proofErr w:type="spellStart"/>
      <w:r w:rsidRPr="00D1249D">
        <w:rPr>
          <w:lang w:val="nb-NO"/>
        </w:rPr>
        <w:t>000</w:t>
      </w:r>
      <w:proofErr w:type="spellEnd"/>
      <w:r w:rsidRPr="00D1249D">
        <w:rPr>
          <w:lang w:val="nb-NO"/>
        </w:rPr>
        <w:t xml:space="preserve"> omvendt sorterte elementer, måtte jeg kjøre </w:t>
      </w:r>
      <w:proofErr w:type="spellStart"/>
      <w:r w:rsidRPr="00D1249D">
        <w:rPr>
          <w:i/>
          <w:iCs/>
          <w:lang w:val="nb-NO"/>
        </w:rPr>
        <w:t>java</w:t>
      </w:r>
      <w:proofErr w:type="spellEnd"/>
      <w:r w:rsidRPr="00D1249D">
        <w:rPr>
          <w:i/>
          <w:iCs/>
          <w:lang w:val="nb-NO"/>
        </w:rPr>
        <w:t xml:space="preserve"> -Xss100m </w:t>
      </w:r>
      <w:proofErr w:type="spellStart"/>
      <w:r w:rsidRPr="00D1249D">
        <w:rPr>
          <w:i/>
          <w:iCs/>
          <w:lang w:val="nb-NO"/>
        </w:rPr>
        <w:t>quicksort</w:t>
      </w:r>
      <w:proofErr w:type="spellEnd"/>
      <w:r w:rsidRPr="00D1249D">
        <w:rPr>
          <w:i/>
          <w:iCs/>
          <w:lang w:val="nb-NO"/>
        </w:rPr>
        <w:t xml:space="preserve"> reversedsorted_1000000.txt</w:t>
      </w:r>
      <w:r w:rsidRPr="00D1249D">
        <w:rPr>
          <w:lang w:val="nb-NO"/>
        </w:rPr>
        <w:t>, der reversedsorted_1000000.txt er filen som inneholder de 1 million omvendt sorterte tallene. Resultaten</w:t>
      </w:r>
      <w:r w:rsidR="00EE7ADA" w:rsidRPr="00D1249D">
        <w:rPr>
          <w:lang w:val="nb-NO"/>
        </w:rPr>
        <w:t xml:space="preserve">e i grafene nedenfor er målt ut </w:t>
      </w:r>
      <w:r w:rsidRPr="00D1249D">
        <w:rPr>
          <w:lang w:val="nb-NO"/>
        </w:rPr>
        <w:t>fra tiden det tok å kjøre algoritmene med omvendt sortert rekkefølge.</w:t>
      </w:r>
    </w:p>
    <w:p w14:paraId="18DBD4AB" w14:textId="77777777" w:rsidR="00EE7ADA" w:rsidRPr="00D1249D" w:rsidRDefault="00EE7ADA" w:rsidP="00DC17C2">
      <w:pPr>
        <w:pStyle w:val="NoSpacing"/>
        <w:rPr>
          <w:lang w:val="nb-NO"/>
        </w:rPr>
      </w:pPr>
    </w:p>
    <w:p w14:paraId="447A6F6D" w14:textId="77777777" w:rsidR="00EE7ADA" w:rsidRPr="00D1249D" w:rsidRDefault="00EE7ADA" w:rsidP="00DC17C2">
      <w:pPr>
        <w:pStyle w:val="NoSpacing"/>
        <w:rPr>
          <w:i/>
          <w:lang w:val="nb-NO"/>
        </w:rPr>
      </w:pPr>
      <w:r w:rsidRPr="00D1249D">
        <w:rPr>
          <w:i/>
          <w:lang w:val="nb-NO"/>
        </w:rPr>
        <w:t xml:space="preserve">Figur 1.3: Sammenligning mellom </w:t>
      </w:r>
      <w:proofErr w:type="spellStart"/>
      <w:r w:rsidRPr="00D1249D">
        <w:rPr>
          <w:i/>
          <w:lang w:val="nb-NO"/>
        </w:rPr>
        <w:t>quicksort</w:t>
      </w:r>
      <w:proofErr w:type="spellEnd"/>
      <w:r w:rsidRPr="00D1249D">
        <w:rPr>
          <w:i/>
          <w:lang w:val="nb-NO"/>
        </w:rPr>
        <w:t xml:space="preserve">, </w:t>
      </w:r>
      <w:proofErr w:type="spellStart"/>
      <w:r w:rsidRPr="00D1249D">
        <w:rPr>
          <w:i/>
          <w:lang w:val="nb-NO"/>
        </w:rPr>
        <w:t>randomizeQuicksort</w:t>
      </w:r>
      <w:proofErr w:type="spellEnd"/>
      <w:r w:rsidRPr="00D1249D">
        <w:rPr>
          <w:i/>
          <w:lang w:val="nb-NO"/>
        </w:rPr>
        <w:t xml:space="preserve">, innsettingssortering og flettesortering for omvendt sorterte elementer. Grafene til </w:t>
      </w:r>
      <w:proofErr w:type="spellStart"/>
      <w:r w:rsidRPr="00D1249D">
        <w:rPr>
          <w:i/>
          <w:lang w:val="nb-NO"/>
        </w:rPr>
        <w:t>quicksort</w:t>
      </w:r>
      <w:proofErr w:type="spellEnd"/>
      <w:r w:rsidRPr="00D1249D">
        <w:rPr>
          <w:i/>
          <w:lang w:val="nb-NO"/>
        </w:rPr>
        <w:t xml:space="preserve"> og innsettingssortering vises i figur 1.4.</w:t>
      </w:r>
    </w:p>
    <w:p w14:paraId="28117121" w14:textId="77777777" w:rsidR="00EE7ADA" w:rsidRPr="00D1249D" w:rsidRDefault="0092528F" w:rsidP="00DC17C2">
      <w:pPr>
        <w:pStyle w:val="NoSpacing"/>
        <w:rPr>
          <w:lang w:val="nb-NO"/>
        </w:rPr>
      </w:pPr>
      <w:r w:rsidRPr="00D1249D">
        <w:rPr>
          <w:lang w:val="nb-NO"/>
        </w:rPr>
        <w:drawing>
          <wp:inline distT="0" distB="0" distL="0" distR="0" wp14:anchorId="4356BA9B" wp14:editId="7141A1E0">
            <wp:extent cx="5270500" cy="4061197"/>
            <wp:effectExtent l="0" t="0" r="12700" b="285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02DD23C" w14:textId="77777777" w:rsidR="00DC17C2" w:rsidRPr="00D1249D" w:rsidRDefault="00DC17C2" w:rsidP="00DC17C2">
      <w:pPr>
        <w:pStyle w:val="NoSpacing"/>
        <w:rPr>
          <w:lang w:val="nb-NO"/>
        </w:rPr>
      </w:pPr>
    </w:p>
    <w:p w14:paraId="38E71A12" w14:textId="77777777" w:rsidR="0092528F" w:rsidRPr="00D1249D" w:rsidRDefault="0092528F" w:rsidP="00DC17C2">
      <w:pPr>
        <w:pStyle w:val="NoSpacing"/>
        <w:rPr>
          <w:i/>
          <w:lang w:val="nb-NO"/>
        </w:rPr>
      </w:pPr>
    </w:p>
    <w:p w14:paraId="14DFE8F4" w14:textId="77777777" w:rsidR="0092528F" w:rsidRPr="00D1249D" w:rsidRDefault="0092528F" w:rsidP="00DC17C2">
      <w:pPr>
        <w:pStyle w:val="NoSpacing"/>
        <w:rPr>
          <w:i/>
          <w:lang w:val="nb-NO"/>
        </w:rPr>
      </w:pPr>
    </w:p>
    <w:p w14:paraId="6CF885E5" w14:textId="77777777" w:rsidR="0092528F" w:rsidRPr="00D1249D" w:rsidRDefault="0092528F" w:rsidP="00DC17C2">
      <w:pPr>
        <w:pStyle w:val="NoSpacing"/>
        <w:rPr>
          <w:i/>
          <w:lang w:val="nb-NO"/>
        </w:rPr>
      </w:pPr>
    </w:p>
    <w:p w14:paraId="1535974F" w14:textId="77777777" w:rsidR="0092528F" w:rsidRPr="00D1249D" w:rsidRDefault="0092528F" w:rsidP="00DC17C2">
      <w:pPr>
        <w:pStyle w:val="NoSpacing"/>
        <w:rPr>
          <w:i/>
          <w:lang w:val="nb-NO"/>
        </w:rPr>
      </w:pPr>
    </w:p>
    <w:p w14:paraId="43FA6194" w14:textId="77777777" w:rsidR="0092528F" w:rsidRPr="00D1249D" w:rsidRDefault="0092528F" w:rsidP="00DC17C2">
      <w:pPr>
        <w:pStyle w:val="NoSpacing"/>
        <w:rPr>
          <w:i/>
          <w:lang w:val="nb-NO"/>
        </w:rPr>
      </w:pPr>
    </w:p>
    <w:p w14:paraId="777E4739" w14:textId="77777777" w:rsidR="0092528F" w:rsidRPr="00D1249D" w:rsidRDefault="0092528F" w:rsidP="00DC17C2">
      <w:pPr>
        <w:pStyle w:val="NoSpacing"/>
        <w:rPr>
          <w:i/>
          <w:lang w:val="nb-NO"/>
        </w:rPr>
      </w:pPr>
    </w:p>
    <w:p w14:paraId="427F5B74" w14:textId="77777777" w:rsidR="0092528F" w:rsidRPr="00D1249D" w:rsidRDefault="0092528F" w:rsidP="00DC17C2">
      <w:pPr>
        <w:pStyle w:val="NoSpacing"/>
        <w:rPr>
          <w:i/>
          <w:lang w:val="nb-NO"/>
        </w:rPr>
      </w:pPr>
    </w:p>
    <w:p w14:paraId="2AE453D3" w14:textId="77777777" w:rsidR="0092528F" w:rsidRPr="00D1249D" w:rsidRDefault="0092528F" w:rsidP="00DC17C2">
      <w:pPr>
        <w:pStyle w:val="NoSpacing"/>
        <w:rPr>
          <w:i/>
          <w:lang w:val="nb-NO"/>
        </w:rPr>
      </w:pPr>
    </w:p>
    <w:p w14:paraId="14708199" w14:textId="77777777" w:rsidR="0092528F" w:rsidRPr="00D1249D" w:rsidRDefault="0092528F" w:rsidP="00DC17C2">
      <w:pPr>
        <w:pStyle w:val="NoSpacing"/>
        <w:rPr>
          <w:i/>
          <w:lang w:val="nb-NO"/>
        </w:rPr>
      </w:pPr>
    </w:p>
    <w:p w14:paraId="3B288A0C" w14:textId="77777777" w:rsidR="0092528F" w:rsidRPr="00D1249D" w:rsidRDefault="0092528F" w:rsidP="00DC17C2">
      <w:pPr>
        <w:pStyle w:val="NoSpacing"/>
        <w:rPr>
          <w:i/>
          <w:lang w:val="nb-NO"/>
        </w:rPr>
      </w:pPr>
    </w:p>
    <w:p w14:paraId="1D44C26E" w14:textId="77777777" w:rsidR="0092528F" w:rsidRPr="00D1249D" w:rsidRDefault="0092528F" w:rsidP="00DC17C2">
      <w:pPr>
        <w:pStyle w:val="NoSpacing"/>
        <w:rPr>
          <w:i/>
          <w:lang w:val="nb-NO"/>
        </w:rPr>
      </w:pPr>
    </w:p>
    <w:p w14:paraId="71E3C828" w14:textId="77777777" w:rsidR="0092528F" w:rsidRPr="00D1249D" w:rsidRDefault="0092528F" w:rsidP="00DC17C2">
      <w:pPr>
        <w:pStyle w:val="NoSpacing"/>
        <w:rPr>
          <w:i/>
          <w:lang w:val="nb-NO"/>
        </w:rPr>
      </w:pPr>
    </w:p>
    <w:p w14:paraId="4A828A56" w14:textId="77777777" w:rsidR="0092528F" w:rsidRPr="00D1249D" w:rsidRDefault="0092528F" w:rsidP="00DC17C2">
      <w:pPr>
        <w:pStyle w:val="NoSpacing"/>
        <w:rPr>
          <w:i/>
          <w:lang w:val="nb-NO"/>
        </w:rPr>
      </w:pPr>
    </w:p>
    <w:p w14:paraId="0D01DCFD" w14:textId="77777777" w:rsidR="0092528F" w:rsidRPr="00D1249D" w:rsidRDefault="0092528F" w:rsidP="00DC17C2">
      <w:pPr>
        <w:pStyle w:val="NoSpacing"/>
        <w:rPr>
          <w:i/>
          <w:lang w:val="nb-NO"/>
        </w:rPr>
      </w:pPr>
    </w:p>
    <w:p w14:paraId="1B877DED" w14:textId="77777777" w:rsidR="0092528F" w:rsidRPr="00D1249D" w:rsidRDefault="0092528F" w:rsidP="00DC17C2">
      <w:pPr>
        <w:pStyle w:val="NoSpacing"/>
        <w:rPr>
          <w:i/>
          <w:lang w:val="nb-NO"/>
        </w:rPr>
      </w:pPr>
    </w:p>
    <w:p w14:paraId="37F6A06D" w14:textId="77777777" w:rsidR="00EE7ADA" w:rsidRPr="00D1249D" w:rsidRDefault="00EE7ADA" w:rsidP="00DC17C2">
      <w:pPr>
        <w:pStyle w:val="NoSpacing"/>
        <w:rPr>
          <w:i/>
          <w:lang w:val="nb-NO"/>
        </w:rPr>
      </w:pPr>
      <w:r w:rsidRPr="00D1249D">
        <w:rPr>
          <w:i/>
          <w:lang w:val="nb-NO"/>
        </w:rPr>
        <w:t xml:space="preserve">Figur 1.4: En graf som viser sammenligningen mellom </w:t>
      </w:r>
      <w:proofErr w:type="spellStart"/>
      <w:r w:rsidRPr="00D1249D">
        <w:rPr>
          <w:i/>
          <w:lang w:val="nb-NO"/>
        </w:rPr>
        <w:t>quicksort</w:t>
      </w:r>
      <w:proofErr w:type="spellEnd"/>
      <w:r w:rsidRPr="00D1249D">
        <w:rPr>
          <w:i/>
          <w:lang w:val="nb-NO"/>
        </w:rPr>
        <w:t xml:space="preserve"> og</w:t>
      </w:r>
      <w:r w:rsidR="0092528F" w:rsidRPr="00D1249D">
        <w:rPr>
          <w:i/>
          <w:lang w:val="nb-NO"/>
        </w:rPr>
        <w:t xml:space="preserve"> flettesortering når elementene er omvendt sorterte</w:t>
      </w:r>
    </w:p>
    <w:p w14:paraId="0B753956" w14:textId="77777777" w:rsidR="00EE7ADA" w:rsidRPr="00D1249D" w:rsidRDefault="00EE7ADA" w:rsidP="00DC17C2">
      <w:pPr>
        <w:pStyle w:val="NoSpacing"/>
        <w:rPr>
          <w:lang w:val="nb-NO"/>
        </w:rPr>
      </w:pPr>
      <w:r w:rsidRPr="00D1249D">
        <w:rPr>
          <w:lang w:val="nb-NO"/>
        </w:rPr>
        <w:drawing>
          <wp:inline distT="0" distB="0" distL="0" distR="0" wp14:anchorId="7DEBF8D8" wp14:editId="60B67B04">
            <wp:extent cx="4573577" cy="3253214"/>
            <wp:effectExtent l="0" t="0" r="24130" b="2349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B255383" w14:textId="77777777" w:rsidR="00EE7ADA" w:rsidRPr="00D1249D" w:rsidRDefault="00EE7ADA" w:rsidP="00DC17C2">
      <w:pPr>
        <w:pStyle w:val="NoSpacing"/>
        <w:rPr>
          <w:lang w:val="nb-NO"/>
        </w:rPr>
      </w:pPr>
    </w:p>
    <w:p w14:paraId="52019611" w14:textId="77777777" w:rsidR="00EE7ADA" w:rsidRPr="00D1249D" w:rsidRDefault="00EE7ADA" w:rsidP="00DC17C2">
      <w:pPr>
        <w:pStyle w:val="NoSpacing"/>
        <w:rPr>
          <w:lang w:val="nb-NO"/>
        </w:rPr>
      </w:pPr>
    </w:p>
    <w:p w14:paraId="21E6DCF9" w14:textId="77777777" w:rsidR="00DC17C2" w:rsidRPr="00D1249D" w:rsidRDefault="00DC17C2" w:rsidP="00DC17C2">
      <w:pPr>
        <w:pStyle w:val="NoSpacing"/>
        <w:rPr>
          <w:lang w:val="nb-NO"/>
        </w:rPr>
      </w:pPr>
      <w:r w:rsidRPr="00D1249D">
        <w:rPr>
          <w:lang w:val="nb-NO"/>
        </w:rPr>
        <w:t xml:space="preserve">Nedenfor viser jeg de samme resultatene i tabellform. Legg merke til at i tabellene oppgis tidsbruken i ulike enheter avhengig av hvor lang tid kjøringen av algoritmen tok. </w:t>
      </w:r>
    </w:p>
    <w:p w14:paraId="30B80B48" w14:textId="77777777" w:rsidR="00DC17C2" w:rsidRPr="00D1249D" w:rsidRDefault="00DC17C2" w:rsidP="00DC17C2">
      <w:pPr>
        <w:pStyle w:val="NoSpacing"/>
        <w:rPr>
          <w:lang w:val="nb-NO"/>
        </w:rPr>
      </w:pPr>
      <w:proofErr w:type="spellStart"/>
      <w:r w:rsidRPr="00D1249D">
        <w:rPr>
          <w:lang w:val="nb-NO"/>
        </w:rPr>
        <w:t>ns</w:t>
      </w:r>
      <w:proofErr w:type="spellEnd"/>
      <w:r w:rsidRPr="00D1249D">
        <w:rPr>
          <w:lang w:val="nb-NO"/>
        </w:rPr>
        <w:t xml:space="preserve"> = nanosekunder (10</w:t>
      </w:r>
      <w:r w:rsidRPr="00D1249D">
        <w:rPr>
          <w:vertAlign w:val="superscript"/>
          <w:lang w:val="nb-NO"/>
        </w:rPr>
        <w:t>-9</w:t>
      </w:r>
      <w:r w:rsidRPr="00D1249D">
        <w:rPr>
          <w:lang w:val="nb-NO"/>
        </w:rPr>
        <w:t xml:space="preserve"> s), </w:t>
      </w:r>
      <w:r w:rsidRPr="00D1249D">
        <w:rPr>
          <w:color w:val="1C1C1C"/>
          <w:lang w:val="nb-NO"/>
        </w:rPr>
        <w:t>µ</w:t>
      </w:r>
      <w:r w:rsidRPr="00D1249D">
        <w:rPr>
          <w:lang w:val="nb-NO"/>
        </w:rPr>
        <w:t>s = mikrosekunder (10</w:t>
      </w:r>
      <w:r w:rsidRPr="00D1249D">
        <w:rPr>
          <w:vertAlign w:val="superscript"/>
          <w:lang w:val="nb-NO"/>
        </w:rPr>
        <w:t>-6</w:t>
      </w:r>
      <w:r w:rsidRPr="00D1249D">
        <w:rPr>
          <w:lang w:val="nb-NO"/>
        </w:rPr>
        <w:t xml:space="preserve"> s), ms = </w:t>
      </w:r>
      <w:r w:rsidR="00EE7ADA" w:rsidRPr="00D1249D">
        <w:rPr>
          <w:lang w:val="nb-NO"/>
        </w:rPr>
        <w:t>millisekunder</w:t>
      </w:r>
      <w:r w:rsidRPr="00D1249D">
        <w:rPr>
          <w:lang w:val="nb-NO"/>
        </w:rPr>
        <w:t xml:space="preserve"> (10</w:t>
      </w:r>
      <w:r w:rsidRPr="00D1249D">
        <w:rPr>
          <w:vertAlign w:val="superscript"/>
          <w:lang w:val="nb-NO"/>
        </w:rPr>
        <w:t>-3</w:t>
      </w:r>
      <w:r w:rsidRPr="00D1249D">
        <w:rPr>
          <w:lang w:val="nb-NO"/>
        </w:rPr>
        <w:t xml:space="preserve"> s), s = sekunder</w:t>
      </w:r>
    </w:p>
    <w:p w14:paraId="1F95A64B" w14:textId="77777777" w:rsidR="00DC17C2" w:rsidRPr="00D1249D" w:rsidRDefault="00DC17C2" w:rsidP="00DC17C2">
      <w:pPr>
        <w:pStyle w:val="NoSpacing"/>
        <w:rPr>
          <w:lang w:val="nb-NO"/>
        </w:rPr>
      </w:pPr>
    </w:p>
    <w:p w14:paraId="4B195C9E" w14:textId="77777777" w:rsidR="00DC17C2" w:rsidRPr="00D1249D" w:rsidRDefault="00DC17C2" w:rsidP="00DC17C2">
      <w:pPr>
        <w:pStyle w:val="NoSpacing"/>
        <w:rPr>
          <w:lang w:val="nb-NO"/>
        </w:rPr>
      </w:pPr>
      <w:r w:rsidRPr="00D1249D">
        <w:rPr>
          <w:lang w:val="nb-NO"/>
        </w:rPr>
        <w:t xml:space="preserve">Tabell 1.1: Sammenlikning mellom </w:t>
      </w:r>
      <w:proofErr w:type="spellStart"/>
      <w:r w:rsidRPr="00D1249D">
        <w:rPr>
          <w:lang w:val="nb-NO"/>
        </w:rPr>
        <w:t>quicksort</w:t>
      </w:r>
      <w:proofErr w:type="spellEnd"/>
      <w:r w:rsidRPr="00D1249D">
        <w:rPr>
          <w:lang w:val="nb-NO"/>
        </w:rPr>
        <w:t xml:space="preserve">, </w:t>
      </w:r>
      <w:proofErr w:type="spellStart"/>
      <w:r w:rsidRPr="00D1249D">
        <w:rPr>
          <w:lang w:val="nb-NO"/>
        </w:rPr>
        <w:t>randomizeQuicksort</w:t>
      </w:r>
      <w:proofErr w:type="spellEnd"/>
      <w:r w:rsidRPr="00D1249D">
        <w:rPr>
          <w:lang w:val="nb-NO"/>
        </w:rPr>
        <w:t>, innsettingssortering (</w:t>
      </w:r>
      <w:proofErr w:type="spellStart"/>
      <w:r w:rsidRPr="00D1249D">
        <w:rPr>
          <w:lang w:val="nb-NO"/>
        </w:rPr>
        <w:t>insertion</w:t>
      </w:r>
      <w:proofErr w:type="spellEnd"/>
      <w:r w:rsidRPr="00D1249D">
        <w:rPr>
          <w:lang w:val="nb-NO"/>
        </w:rPr>
        <w:t xml:space="preserve"> sort) og flettesortering (</w:t>
      </w:r>
      <w:proofErr w:type="spellStart"/>
      <w:r w:rsidRPr="00D1249D">
        <w:rPr>
          <w:lang w:val="nb-NO"/>
        </w:rPr>
        <w:t>merge</w:t>
      </w:r>
      <w:proofErr w:type="spellEnd"/>
      <w:r w:rsidRPr="00D1249D">
        <w:rPr>
          <w:lang w:val="nb-NO"/>
        </w:rPr>
        <w:t xml:space="preserve"> sort) for usorterte elementer:</w:t>
      </w:r>
    </w:p>
    <w:tbl>
      <w:tblPr>
        <w:tblW w:w="5000" w:type="pct"/>
        <w:tblCellSpacing w:w="0" w:type="dxa"/>
        <w:tblCellMar>
          <w:top w:w="100" w:type="dxa"/>
          <w:left w:w="100" w:type="dxa"/>
          <w:bottom w:w="100" w:type="dxa"/>
          <w:right w:w="100" w:type="dxa"/>
        </w:tblCellMar>
        <w:tblLook w:val="04A0" w:firstRow="1" w:lastRow="0" w:firstColumn="1" w:lastColumn="0" w:noHBand="0" w:noVBand="1"/>
      </w:tblPr>
      <w:tblGrid>
        <w:gridCol w:w="1689"/>
        <w:gridCol w:w="1436"/>
        <w:gridCol w:w="1943"/>
        <w:gridCol w:w="1689"/>
        <w:gridCol w:w="1689"/>
      </w:tblGrid>
      <w:tr w:rsidR="00DC17C2" w:rsidRPr="00D1249D" w14:paraId="5BB4F604" w14:textId="77777777" w:rsidTr="00DC17C2">
        <w:trPr>
          <w:tblCellSpacing w:w="0" w:type="dxa"/>
        </w:trPr>
        <w:tc>
          <w:tcPr>
            <w:tcW w:w="1000" w:type="pct"/>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14:paraId="2702FD48" w14:textId="77777777" w:rsidR="00DC17C2" w:rsidRPr="00D1249D" w:rsidRDefault="00DC17C2" w:rsidP="00DC17C2">
            <w:pPr>
              <w:pStyle w:val="NoSpacing"/>
              <w:rPr>
                <w:lang w:val="nb-NO"/>
              </w:rPr>
            </w:pPr>
            <w:r w:rsidRPr="00D1249D">
              <w:rPr>
                <w:lang w:val="nb-NO"/>
              </w:rPr>
              <w:t>Input</w:t>
            </w:r>
          </w:p>
        </w:tc>
        <w:tc>
          <w:tcPr>
            <w:tcW w:w="850" w:type="pct"/>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14:paraId="38BB6B81" w14:textId="77777777" w:rsidR="00DC17C2" w:rsidRPr="00D1249D" w:rsidRDefault="00DC17C2" w:rsidP="00DC17C2">
            <w:pPr>
              <w:pStyle w:val="NoSpacing"/>
              <w:rPr>
                <w:lang w:val="nb-NO"/>
              </w:rPr>
            </w:pPr>
            <w:proofErr w:type="spellStart"/>
            <w:r w:rsidRPr="00D1249D">
              <w:rPr>
                <w:lang w:val="nb-NO"/>
              </w:rPr>
              <w:t>quicksort</w:t>
            </w:r>
            <w:proofErr w:type="spellEnd"/>
          </w:p>
        </w:tc>
        <w:tc>
          <w:tcPr>
            <w:tcW w:w="1150" w:type="pct"/>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14:paraId="0917FE1F" w14:textId="77777777" w:rsidR="00DC17C2" w:rsidRPr="00D1249D" w:rsidRDefault="00DC17C2" w:rsidP="00DC17C2">
            <w:pPr>
              <w:pStyle w:val="NoSpacing"/>
              <w:rPr>
                <w:lang w:val="nb-NO"/>
              </w:rPr>
            </w:pPr>
            <w:proofErr w:type="spellStart"/>
            <w:r w:rsidRPr="00D1249D">
              <w:rPr>
                <w:lang w:val="nb-NO"/>
              </w:rPr>
              <w:t>Randomize-Quicksort</w:t>
            </w:r>
            <w:proofErr w:type="spellEnd"/>
          </w:p>
        </w:tc>
        <w:tc>
          <w:tcPr>
            <w:tcW w:w="1000" w:type="pct"/>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14:paraId="787C9EF6" w14:textId="77777777" w:rsidR="00DC17C2" w:rsidRPr="00D1249D" w:rsidRDefault="00DC17C2" w:rsidP="00DC17C2">
            <w:pPr>
              <w:pStyle w:val="NoSpacing"/>
              <w:rPr>
                <w:lang w:val="nb-NO"/>
              </w:rPr>
            </w:pPr>
            <w:r w:rsidRPr="00D1249D">
              <w:rPr>
                <w:lang w:val="nb-NO"/>
              </w:rPr>
              <w:t>In</w:t>
            </w:r>
            <w:r w:rsidR="00EE7ADA" w:rsidRPr="00D1249D">
              <w:rPr>
                <w:lang w:val="nb-NO"/>
              </w:rPr>
              <w:t>n</w:t>
            </w:r>
            <w:r w:rsidRPr="00D1249D">
              <w:rPr>
                <w:lang w:val="nb-NO"/>
              </w:rPr>
              <w:t>settings-sortering</w:t>
            </w:r>
          </w:p>
        </w:tc>
        <w:tc>
          <w:tcPr>
            <w:tcW w:w="1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5FEB29F1" w14:textId="77777777" w:rsidR="00DC17C2" w:rsidRPr="00D1249D" w:rsidRDefault="00DC17C2" w:rsidP="00DC17C2">
            <w:pPr>
              <w:pStyle w:val="NoSpacing"/>
              <w:rPr>
                <w:lang w:val="nb-NO"/>
              </w:rPr>
            </w:pPr>
            <w:r w:rsidRPr="00D1249D">
              <w:rPr>
                <w:lang w:val="nb-NO"/>
              </w:rPr>
              <w:t>flettesortering</w:t>
            </w:r>
          </w:p>
        </w:tc>
      </w:tr>
      <w:tr w:rsidR="00DC17C2" w:rsidRPr="00D1249D" w14:paraId="313A82D6" w14:textId="77777777" w:rsidTr="00DC17C2">
        <w:trPr>
          <w:tblCellSpacing w:w="0" w:type="dxa"/>
        </w:trPr>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484ECDC5" w14:textId="77777777" w:rsidR="00DC17C2" w:rsidRPr="00D1249D" w:rsidRDefault="00DC17C2" w:rsidP="00DC17C2">
            <w:pPr>
              <w:pStyle w:val="NoSpacing"/>
              <w:rPr>
                <w:lang w:val="nb-NO"/>
              </w:rPr>
            </w:pPr>
            <w:r w:rsidRPr="00D1249D">
              <w:rPr>
                <w:lang w:val="nb-NO"/>
              </w:rPr>
              <w:t>10</w:t>
            </w:r>
          </w:p>
        </w:tc>
        <w:tc>
          <w:tcPr>
            <w:tcW w:w="850" w:type="pct"/>
            <w:tcBorders>
              <w:top w:val="nil"/>
              <w:left w:val="single" w:sz="6" w:space="0" w:color="000000"/>
              <w:bottom w:val="single" w:sz="6" w:space="0" w:color="000000"/>
              <w:right w:val="nil"/>
            </w:tcBorders>
            <w:tcMar>
              <w:top w:w="0" w:type="dxa"/>
              <w:left w:w="58" w:type="dxa"/>
              <w:bottom w:w="58" w:type="dxa"/>
              <w:right w:w="0" w:type="dxa"/>
            </w:tcMar>
            <w:hideMark/>
          </w:tcPr>
          <w:p w14:paraId="1238E200" w14:textId="77777777" w:rsidR="00DC17C2" w:rsidRPr="00D1249D" w:rsidRDefault="00DC17C2" w:rsidP="00DC17C2">
            <w:pPr>
              <w:pStyle w:val="NoSpacing"/>
              <w:rPr>
                <w:lang w:val="nb-NO"/>
              </w:rPr>
            </w:pPr>
            <w:r w:rsidRPr="00D1249D">
              <w:rPr>
                <w:lang w:val="nb-NO"/>
              </w:rPr>
              <w:t xml:space="preserve">8 </w:t>
            </w:r>
            <w:r w:rsidRPr="00D1249D">
              <w:rPr>
                <w:color w:val="1C1C1C"/>
                <w:lang w:val="nb-NO"/>
              </w:rPr>
              <w:t>µ</w:t>
            </w:r>
            <w:r w:rsidRPr="00D1249D">
              <w:rPr>
                <w:lang w:val="nb-NO"/>
              </w:rPr>
              <w:t>s</w:t>
            </w:r>
          </w:p>
        </w:tc>
        <w:tc>
          <w:tcPr>
            <w:tcW w:w="1150" w:type="pct"/>
            <w:tcBorders>
              <w:top w:val="nil"/>
              <w:left w:val="single" w:sz="6" w:space="0" w:color="000000"/>
              <w:bottom w:val="single" w:sz="6" w:space="0" w:color="000000"/>
              <w:right w:val="nil"/>
            </w:tcBorders>
            <w:tcMar>
              <w:top w:w="0" w:type="dxa"/>
              <w:left w:w="58" w:type="dxa"/>
              <w:bottom w:w="58" w:type="dxa"/>
              <w:right w:w="0" w:type="dxa"/>
            </w:tcMar>
            <w:hideMark/>
          </w:tcPr>
          <w:p w14:paraId="2B42CEE7" w14:textId="77777777" w:rsidR="00DC17C2" w:rsidRPr="00D1249D" w:rsidRDefault="00DC17C2" w:rsidP="00DC17C2">
            <w:pPr>
              <w:pStyle w:val="NoSpacing"/>
              <w:rPr>
                <w:lang w:val="nb-NO"/>
              </w:rPr>
            </w:pPr>
            <w:r w:rsidRPr="00D1249D">
              <w:rPr>
                <w:lang w:val="nb-NO"/>
              </w:rPr>
              <w:t xml:space="preserve">511 </w:t>
            </w:r>
            <w:r w:rsidRPr="00D1249D">
              <w:rPr>
                <w:color w:val="1C1C1C"/>
                <w:lang w:val="nb-NO"/>
              </w:rPr>
              <w:t>µ</w:t>
            </w:r>
            <w:r w:rsidRPr="00D1249D">
              <w:rPr>
                <w:lang w:val="nb-NO"/>
              </w:rPr>
              <w:t xml:space="preserve">s </w:t>
            </w:r>
          </w:p>
        </w:tc>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3D083089" w14:textId="77777777" w:rsidR="00DC17C2" w:rsidRPr="00D1249D" w:rsidRDefault="00DC17C2" w:rsidP="00DC17C2">
            <w:pPr>
              <w:pStyle w:val="NoSpacing"/>
              <w:rPr>
                <w:lang w:val="nb-NO"/>
              </w:rPr>
            </w:pPr>
            <w:r w:rsidRPr="00D1249D">
              <w:rPr>
                <w:lang w:val="nb-NO"/>
              </w:rPr>
              <w:t xml:space="preserve">4,025 </w:t>
            </w:r>
            <w:proofErr w:type="spellStart"/>
            <w:r w:rsidRPr="00D1249D">
              <w:rPr>
                <w:lang w:val="nb-NO"/>
              </w:rPr>
              <w:t>ns</w:t>
            </w:r>
            <w:proofErr w:type="spellEnd"/>
          </w:p>
        </w:tc>
        <w:tc>
          <w:tcPr>
            <w:tcW w:w="100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7E3ACF95" w14:textId="77777777" w:rsidR="00DC17C2" w:rsidRPr="00D1249D" w:rsidRDefault="00DC17C2" w:rsidP="00DC17C2">
            <w:pPr>
              <w:pStyle w:val="NoSpacing"/>
              <w:rPr>
                <w:lang w:val="nb-NO"/>
              </w:rPr>
            </w:pPr>
            <w:r w:rsidRPr="00D1249D">
              <w:rPr>
                <w:lang w:val="nb-NO"/>
              </w:rPr>
              <w:t xml:space="preserve">14 </w:t>
            </w:r>
            <w:r w:rsidRPr="00D1249D">
              <w:rPr>
                <w:color w:val="1C1C1C"/>
                <w:lang w:val="nb-NO"/>
              </w:rPr>
              <w:t>µ</w:t>
            </w:r>
            <w:r w:rsidRPr="00D1249D">
              <w:rPr>
                <w:lang w:val="nb-NO"/>
              </w:rPr>
              <w:t>s</w:t>
            </w:r>
          </w:p>
        </w:tc>
      </w:tr>
      <w:tr w:rsidR="00DC17C2" w:rsidRPr="00D1249D" w14:paraId="7177F313" w14:textId="77777777" w:rsidTr="00DC17C2">
        <w:trPr>
          <w:tblCellSpacing w:w="0" w:type="dxa"/>
        </w:trPr>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2CBA2163" w14:textId="77777777" w:rsidR="00DC17C2" w:rsidRPr="00D1249D" w:rsidRDefault="00DC17C2" w:rsidP="00DC17C2">
            <w:pPr>
              <w:pStyle w:val="NoSpacing"/>
              <w:rPr>
                <w:lang w:val="nb-NO"/>
              </w:rPr>
            </w:pPr>
            <w:r w:rsidRPr="00D1249D">
              <w:rPr>
                <w:lang w:val="nb-NO"/>
              </w:rPr>
              <w:t>100</w:t>
            </w:r>
          </w:p>
        </w:tc>
        <w:tc>
          <w:tcPr>
            <w:tcW w:w="850" w:type="pct"/>
            <w:tcBorders>
              <w:top w:val="nil"/>
              <w:left w:val="single" w:sz="6" w:space="0" w:color="000000"/>
              <w:bottom w:val="single" w:sz="6" w:space="0" w:color="000000"/>
              <w:right w:val="nil"/>
            </w:tcBorders>
            <w:tcMar>
              <w:top w:w="0" w:type="dxa"/>
              <w:left w:w="58" w:type="dxa"/>
              <w:bottom w:w="58" w:type="dxa"/>
              <w:right w:w="0" w:type="dxa"/>
            </w:tcMar>
            <w:hideMark/>
          </w:tcPr>
          <w:p w14:paraId="7B9F9E0A" w14:textId="77777777" w:rsidR="00DC17C2" w:rsidRPr="00D1249D" w:rsidRDefault="00DC17C2" w:rsidP="00DC17C2">
            <w:pPr>
              <w:pStyle w:val="NoSpacing"/>
              <w:rPr>
                <w:lang w:val="nb-NO"/>
              </w:rPr>
            </w:pPr>
            <w:r w:rsidRPr="00D1249D">
              <w:rPr>
                <w:lang w:val="nb-NO"/>
              </w:rPr>
              <w:t xml:space="preserve">46 </w:t>
            </w:r>
            <w:r w:rsidRPr="00D1249D">
              <w:rPr>
                <w:color w:val="1C1C1C"/>
                <w:lang w:val="nb-NO"/>
              </w:rPr>
              <w:t>µ</w:t>
            </w:r>
            <w:r w:rsidRPr="00D1249D">
              <w:rPr>
                <w:lang w:val="nb-NO"/>
              </w:rPr>
              <w:t>s</w:t>
            </w:r>
          </w:p>
        </w:tc>
        <w:tc>
          <w:tcPr>
            <w:tcW w:w="1150" w:type="pct"/>
            <w:tcBorders>
              <w:top w:val="nil"/>
              <w:left w:val="single" w:sz="6" w:space="0" w:color="000000"/>
              <w:bottom w:val="single" w:sz="6" w:space="0" w:color="000000"/>
              <w:right w:val="nil"/>
            </w:tcBorders>
            <w:tcMar>
              <w:top w:w="0" w:type="dxa"/>
              <w:left w:w="58" w:type="dxa"/>
              <w:bottom w:w="58" w:type="dxa"/>
              <w:right w:w="0" w:type="dxa"/>
            </w:tcMar>
            <w:hideMark/>
          </w:tcPr>
          <w:p w14:paraId="357EE5FC" w14:textId="77777777" w:rsidR="00DC17C2" w:rsidRPr="00D1249D" w:rsidRDefault="00DC17C2" w:rsidP="00DC17C2">
            <w:pPr>
              <w:pStyle w:val="NoSpacing"/>
              <w:rPr>
                <w:lang w:val="nb-NO"/>
              </w:rPr>
            </w:pPr>
            <w:r w:rsidRPr="00D1249D">
              <w:rPr>
                <w:lang w:val="nb-NO"/>
              </w:rPr>
              <w:t xml:space="preserve">634 </w:t>
            </w:r>
            <w:r w:rsidRPr="00D1249D">
              <w:rPr>
                <w:color w:val="1C1C1C"/>
                <w:lang w:val="nb-NO"/>
              </w:rPr>
              <w:t>µ</w:t>
            </w:r>
            <w:r w:rsidRPr="00D1249D">
              <w:rPr>
                <w:lang w:val="nb-NO"/>
              </w:rPr>
              <w:t>s</w:t>
            </w:r>
          </w:p>
        </w:tc>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6049D43B" w14:textId="77777777" w:rsidR="00DC17C2" w:rsidRPr="00D1249D" w:rsidRDefault="00DC17C2" w:rsidP="00DC17C2">
            <w:pPr>
              <w:pStyle w:val="NoSpacing"/>
              <w:rPr>
                <w:lang w:val="nb-NO"/>
              </w:rPr>
            </w:pPr>
            <w:r w:rsidRPr="00D1249D">
              <w:rPr>
                <w:lang w:val="nb-NO"/>
              </w:rPr>
              <w:t xml:space="preserve">89 </w:t>
            </w:r>
            <w:r w:rsidRPr="00D1249D">
              <w:rPr>
                <w:color w:val="1C1C1C"/>
                <w:lang w:val="nb-NO"/>
              </w:rPr>
              <w:t>µ</w:t>
            </w:r>
            <w:r w:rsidRPr="00D1249D">
              <w:rPr>
                <w:lang w:val="nb-NO"/>
              </w:rPr>
              <w:t>s</w:t>
            </w:r>
          </w:p>
        </w:tc>
        <w:tc>
          <w:tcPr>
            <w:tcW w:w="100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0B5FB38E" w14:textId="77777777" w:rsidR="00DC17C2" w:rsidRPr="00D1249D" w:rsidRDefault="00DC17C2" w:rsidP="00DC17C2">
            <w:pPr>
              <w:pStyle w:val="NoSpacing"/>
              <w:rPr>
                <w:lang w:val="nb-NO"/>
              </w:rPr>
            </w:pPr>
            <w:r w:rsidRPr="00D1249D">
              <w:rPr>
                <w:lang w:val="nb-NO"/>
              </w:rPr>
              <w:t xml:space="preserve">83 </w:t>
            </w:r>
            <w:r w:rsidRPr="00D1249D">
              <w:rPr>
                <w:color w:val="1C1C1C"/>
                <w:lang w:val="nb-NO"/>
              </w:rPr>
              <w:t>µ</w:t>
            </w:r>
            <w:r w:rsidRPr="00D1249D">
              <w:rPr>
                <w:lang w:val="nb-NO"/>
              </w:rPr>
              <w:t>s</w:t>
            </w:r>
          </w:p>
        </w:tc>
      </w:tr>
      <w:tr w:rsidR="00DC17C2" w:rsidRPr="00D1249D" w14:paraId="7993CBA7" w14:textId="77777777" w:rsidTr="00DC17C2">
        <w:trPr>
          <w:tblCellSpacing w:w="0" w:type="dxa"/>
        </w:trPr>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21B50B5A" w14:textId="77777777" w:rsidR="00DC17C2" w:rsidRPr="00D1249D" w:rsidRDefault="00DC17C2" w:rsidP="00DC17C2">
            <w:pPr>
              <w:pStyle w:val="NoSpacing"/>
              <w:rPr>
                <w:lang w:val="nb-NO"/>
              </w:rPr>
            </w:pPr>
            <w:r w:rsidRPr="00D1249D">
              <w:rPr>
                <w:lang w:val="nb-NO"/>
              </w:rPr>
              <w:t>1000</w:t>
            </w:r>
          </w:p>
        </w:tc>
        <w:tc>
          <w:tcPr>
            <w:tcW w:w="850" w:type="pct"/>
            <w:tcBorders>
              <w:top w:val="nil"/>
              <w:left w:val="single" w:sz="6" w:space="0" w:color="000000"/>
              <w:bottom w:val="single" w:sz="6" w:space="0" w:color="000000"/>
              <w:right w:val="nil"/>
            </w:tcBorders>
            <w:tcMar>
              <w:top w:w="0" w:type="dxa"/>
              <w:left w:w="58" w:type="dxa"/>
              <w:bottom w:w="58" w:type="dxa"/>
              <w:right w:w="0" w:type="dxa"/>
            </w:tcMar>
            <w:hideMark/>
          </w:tcPr>
          <w:p w14:paraId="39814174" w14:textId="77777777" w:rsidR="00DC17C2" w:rsidRPr="00D1249D" w:rsidRDefault="00DC17C2" w:rsidP="00DC17C2">
            <w:pPr>
              <w:pStyle w:val="NoSpacing"/>
              <w:rPr>
                <w:lang w:val="nb-NO"/>
              </w:rPr>
            </w:pPr>
            <w:r w:rsidRPr="00D1249D">
              <w:rPr>
                <w:lang w:val="nb-NO"/>
              </w:rPr>
              <w:t xml:space="preserve">575 </w:t>
            </w:r>
            <w:r w:rsidRPr="00D1249D">
              <w:rPr>
                <w:color w:val="1C1C1C"/>
                <w:lang w:val="nb-NO"/>
              </w:rPr>
              <w:t>µ</w:t>
            </w:r>
            <w:r w:rsidRPr="00D1249D">
              <w:rPr>
                <w:lang w:val="nb-NO"/>
              </w:rPr>
              <w:t>s</w:t>
            </w:r>
          </w:p>
        </w:tc>
        <w:tc>
          <w:tcPr>
            <w:tcW w:w="1150" w:type="pct"/>
            <w:tcBorders>
              <w:top w:val="nil"/>
              <w:left w:val="single" w:sz="6" w:space="0" w:color="000000"/>
              <w:bottom w:val="single" w:sz="6" w:space="0" w:color="000000"/>
              <w:right w:val="nil"/>
            </w:tcBorders>
            <w:tcMar>
              <w:top w:w="0" w:type="dxa"/>
              <w:left w:w="58" w:type="dxa"/>
              <w:bottom w:w="58" w:type="dxa"/>
              <w:right w:w="0" w:type="dxa"/>
            </w:tcMar>
            <w:hideMark/>
          </w:tcPr>
          <w:p w14:paraId="2EB8DD1A" w14:textId="77777777" w:rsidR="00DC17C2" w:rsidRPr="00D1249D" w:rsidRDefault="00DC17C2" w:rsidP="00DC17C2">
            <w:pPr>
              <w:pStyle w:val="NoSpacing"/>
              <w:rPr>
                <w:lang w:val="nb-NO"/>
              </w:rPr>
            </w:pPr>
            <w:r w:rsidRPr="00D1249D">
              <w:rPr>
                <w:lang w:val="nb-NO"/>
              </w:rPr>
              <w:t>2,625 ms</w:t>
            </w:r>
          </w:p>
        </w:tc>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0506FFBF" w14:textId="77777777" w:rsidR="00DC17C2" w:rsidRPr="00D1249D" w:rsidRDefault="00DC17C2" w:rsidP="00DC17C2">
            <w:pPr>
              <w:pStyle w:val="NoSpacing"/>
              <w:rPr>
                <w:lang w:val="nb-NO"/>
              </w:rPr>
            </w:pPr>
            <w:r w:rsidRPr="00D1249D">
              <w:rPr>
                <w:lang w:val="nb-NO"/>
              </w:rPr>
              <w:t>6 ms</w:t>
            </w:r>
          </w:p>
        </w:tc>
        <w:tc>
          <w:tcPr>
            <w:tcW w:w="100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788DF8EE" w14:textId="77777777" w:rsidR="00DC17C2" w:rsidRPr="00D1249D" w:rsidRDefault="00DC17C2" w:rsidP="00DC17C2">
            <w:pPr>
              <w:pStyle w:val="NoSpacing"/>
              <w:rPr>
                <w:lang w:val="nb-NO"/>
              </w:rPr>
            </w:pPr>
            <w:r w:rsidRPr="00D1249D">
              <w:rPr>
                <w:lang w:val="nb-NO"/>
              </w:rPr>
              <w:t xml:space="preserve">925 </w:t>
            </w:r>
            <w:r w:rsidRPr="00D1249D">
              <w:rPr>
                <w:color w:val="1C1C1C"/>
                <w:lang w:val="nb-NO"/>
              </w:rPr>
              <w:t>µ</w:t>
            </w:r>
            <w:r w:rsidRPr="00D1249D">
              <w:rPr>
                <w:lang w:val="nb-NO"/>
              </w:rPr>
              <w:t>s</w:t>
            </w:r>
          </w:p>
        </w:tc>
      </w:tr>
      <w:tr w:rsidR="00DC17C2" w:rsidRPr="00D1249D" w14:paraId="347E57A9" w14:textId="77777777" w:rsidTr="00DC17C2">
        <w:trPr>
          <w:tblCellSpacing w:w="0" w:type="dxa"/>
        </w:trPr>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35F8B5FD" w14:textId="77777777" w:rsidR="00DC17C2" w:rsidRPr="00D1249D" w:rsidRDefault="00DC17C2" w:rsidP="00DC17C2">
            <w:pPr>
              <w:pStyle w:val="NoSpacing"/>
              <w:rPr>
                <w:lang w:val="nb-NO"/>
              </w:rPr>
            </w:pPr>
            <w:r w:rsidRPr="00D1249D">
              <w:rPr>
                <w:lang w:val="nb-NO"/>
              </w:rPr>
              <w:t>10000</w:t>
            </w:r>
          </w:p>
        </w:tc>
        <w:tc>
          <w:tcPr>
            <w:tcW w:w="850" w:type="pct"/>
            <w:tcBorders>
              <w:top w:val="nil"/>
              <w:left w:val="single" w:sz="6" w:space="0" w:color="000000"/>
              <w:bottom w:val="single" w:sz="6" w:space="0" w:color="000000"/>
              <w:right w:val="nil"/>
            </w:tcBorders>
            <w:tcMar>
              <w:top w:w="0" w:type="dxa"/>
              <w:left w:w="58" w:type="dxa"/>
              <w:bottom w:w="58" w:type="dxa"/>
              <w:right w:w="0" w:type="dxa"/>
            </w:tcMar>
            <w:hideMark/>
          </w:tcPr>
          <w:p w14:paraId="216A692E" w14:textId="77777777" w:rsidR="00DC17C2" w:rsidRPr="00D1249D" w:rsidRDefault="00DC17C2" w:rsidP="00DC17C2">
            <w:pPr>
              <w:pStyle w:val="NoSpacing"/>
              <w:rPr>
                <w:lang w:val="nb-NO"/>
              </w:rPr>
            </w:pPr>
            <w:r w:rsidRPr="00D1249D">
              <w:rPr>
                <w:lang w:val="nb-NO"/>
              </w:rPr>
              <w:t>2,337 ms</w:t>
            </w:r>
          </w:p>
        </w:tc>
        <w:tc>
          <w:tcPr>
            <w:tcW w:w="1150" w:type="pct"/>
            <w:tcBorders>
              <w:top w:val="nil"/>
              <w:left w:val="single" w:sz="6" w:space="0" w:color="000000"/>
              <w:bottom w:val="single" w:sz="6" w:space="0" w:color="000000"/>
              <w:right w:val="nil"/>
            </w:tcBorders>
            <w:tcMar>
              <w:top w:w="0" w:type="dxa"/>
              <w:left w:w="58" w:type="dxa"/>
              <w:bottom w:w="58" w:type="dxa"/>
              <w:right w:w="0" w:type="dxa"/>
            </w:tcMar>
            <w:hideMark/>
          </w:tcPr>
          <w:p w14:paraId="0A51BB04" w14:textId="77777777" w:rsidR="00DC17C2" w:rsidRPr="00D1249D" w:rsidRDefault="00DC17C2" w:rsidP="00DC17C2">
            <w:pPr>
              <w:pStyle w:val="NoSpacing"/>
              <w:rPr>
                <w:lang w:val="nb-NO"/>
              </w:rPr>
            </w:pPr>
            <w:r w:rsidRPr="00D1249D">
              <w:rPr>
                <w:lang w:val="nb-NO"/>
              </w:rPr>
              <w:t>8,518 ms</w:t>
            </w:r>
          </w:p>
        </w:tc>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7C804FDB" w14:textId="77777777" w:rsidR="00DC17C2" w:rsidRPr="00D1249D" w:rsidRDefault="00DC17C2" w:rsidP="00DC17C2">
            <w:pPr>
              <w:pStyle w:val="NoSpacing"/>
              <w:rPr>
                <w:lang w:val="nb-NO"/>
              </w:rPr>
            </w:pPr>
            <w:r w:rsidRPr="00D1249D">
              <w:rPr>
                <w:lang w:val="nb-NO"/>
              </w:rPr>
              <w:t>47 ms</w:t>
            </w:r>
          </w:p>
        </w:tc>
        <w:tc>
          <w:tcPr>
            <w:tcW w:w="100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618488BB" w14:textId="77777777" w:rsidR="00DC17C2" w:rsidRPr="00D1249D" w:rsidRDefault="00DC17C2" w:rsidP="00DC17C2">
            <w:pPr>
              <w:pStyle w:val="NoSpacing"/>
              <w:rPr>
                <w:lang w:val="nb-NO"/>
              </w:rPr>
            </w:pPr>
            <w:r w:rsidRPr="00D1249D">
              <w:rPr>
                <w:lang w:val="nb-NO"/>
              </w:rPr>
              <w:t>3,046 ms</w:t>
            </w:r>
          </w:p>
        </w:tc>
      </w:tr>
      <w:tr w:rsidR="00DC17C2" w:rsidRPr="00D1249D" w14:paraId="68D25B87" w14:textId="77777777" w:rsidTr="00DC17C2">
        <w:trPr>
          <w:tblCellSpacing w:w="0" w:type="dxa"/>
        </w:trPr>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6DF5AD2F" w14:textId="77777777" w:rsidR="00DC17C2" w:rsidRPr="00D1249D" w:rsidRDefault="00DC17C2" w:rsidP="00DC17C2">
            <w:pPr>
              <w:pStyle w:val="NoSpacing"/>
              <w:rPr>
                <w:lang w:val="nb-NO"/>
              </w:rPr>
            </w:pPr>
            <w:r w:rsidRPr="00D1249D">
              <w:rPr>
                <w:lang w:val="nb-NO"/>
              </w:rPr>
              <w:t>100000</w:t>
            </w:r>
          </w:p>
        </w:tc>
        <w:tc>
          <w:tcPr>
            <w:tcW w:w="850" w:type="pct"/>
            <w:tcBorders>
              <w:top w:val="nil"/>
              <w:left w:val="single" w:sz="6" w:space="0" w:color="000000"/>
              <w:bottom w:val="single" w:sz="6" w:space="0" w:color="000000"/>
              <w:right w:val="nil"/>
            </w:tcBorders>
            <w:tcMar>
              <w:top w:w="0" w:type="dxa"/>
              <w:left w:w="58" w:type="dxa"/>
              <w:bottom w:w="58" w:type="dxa"/>
              <w:right w:w="0" w:type="dxa"/>
            </w:tcMar>
            <w:hideMark/>
          </w:tcPr>
          <w:p w14:paraId="0501C629" w14:textId="77777777" w:rsidR="00DC17C2" w:rsidRPr="00D1249D" w:rsidRDefault="00DC17C2" w:rsidP="00DC17C2">
            <w:pPr>
              <w:pStyle w:val="NoSpacing"/>
              <w:rPr>
                <w:lang w:val="nb-NO"/>
              </w:rPr>
            </w:pPr>
            <w:r w:rsidRPr="00D1249D">
              <w:rPr>
                <w:lang w:val="nb-NO"/>
              </w:rPr>
              <w:t>14,394 ms</w:t>
            </w:r>
          </w:p>
        </w:tc>
        <w:tc>
          <w:tcPr>
            <w:tcW w:w="1150" w:type="pct"/>
            <w:tcBorders>
              <w:top w:val="nil"/>
              <w:left w:val="single" w:sz="6" w:space="0" w:color="000000"/>
              <w:bottom w:val="single" w:sz="6" w:space="0" w:color="000000"/>
              <w:right w:val="nil"/>
            </w:tcBorders>
            <w:tcMar>
              <w:top w:w="0" w:type="dxa"/>
              <w:left w:w="58" w:type="dxa"/>
              <w:bottom w:w="58" w:type="dxa"/>
              <w:right w:w="0" w:type="dxa"/>
            </w:tcMar>
            <w:hideMark/>
          </w:tcPr>
          <w:p w14:paraId="301BBD88" w14:textId="77777777" w:rsidR="00DC17C2" w:rsidRPr="00D1249D" w:rsidRDefault="00DC17C2" w:rsidP="00DC17C2">
            <w:pPr>
              <w:pStyle w:val="NoSpacing"/>
              <w:rPr>
                <w:lang w:val="nb-NO"/>
              </w:rPr>
            </w:pPr>
            <w:r w:rsidRPr="00D1249D">
              <w:rPr>
                <w:lang w:val="nb-NO"/>
              </w:rPr>
              <w:t>23,358 ms</w:t>
            </w:r>
          </w:p>
        </w:tc>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3342CB72" w14:textId="77777777" w:rsidR="00DC17C2" w:rsidRPr="00D1249D" w:rsidRDefault="00DC17C2" w:rsidP="00DC17C2">
            <w:pPr>
              <w:pStyle w:val="NoSpacing"/>
              <w:rPr>
                <w:lang w:val="nb-NO"/>
              </w:rPr>
            </w:pPr>
            <w:r w:rsidRPr="00D1249D">
              <w:rPr>
                <w:lang w:val="nb-NO"/>
              </w:rPr>
              <w:t>1,122 s</w:t>
            </w:r>
          </w:p>
        </w:tc>
        <w:tc>
          <w:tcPr>
            <w:tcW w:w="100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2483A15E" w14:textId="77777777" w:rsidR="00DC17C2" w:rsidRPr="00D1249D" w:rsidRDefault="00DC17C2" w:rsidP="00DC17C2">
            <w:pPr>
              <w:pStyle w:val="NoSpacing"/>
              <w:rPr>
                <w:lang w:val="nb-NO"/>
              </w:rPr>
            </w:pPr>
            <w:r w:rsidRPr="00D1249D">
              <w:rPr>
                <w:lang w:val="nb-NO"/>
              </w:rPr>
              <w:t>27,273 ms</w:t>
            </w:r>
          </w:p>
        </w:tc>
      </w:tr>
      <w:tr w:rsidR="00DC17C2" w:rsidRPr="00D1249D" w14:paraId="168118B5" w14:textId="77777777" w:rsidTr="00DC17C2">
        <w:trPr>
          <w:tblCellSpacing w:w="0" w:type="dxa"/>
        </w:trPr>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690E35B6" w14:textId="77777777" w:rsidR="00DC17C2" w:rsidRPr="00D1249D" w:rsidRDefault="00DC17C2" w:rsidP="00DC17C2">
            <w:pPr>
              <w:pStyle w:val="NoSpacing"/>
              <w:rPr>
                <w:lang w:val="nb-NO"/>
              </w:rPr>
            </w:pPr>
            <w:r w:rsidRPr="00D1249D">
              <w:rPr>
                <w:lang w:val="nb-NO"/>
              </w:rPr>
              <w:t>500000</w:t>
            </w:r>
          </w:p>
        </w:tc>
        <w:tc>
          <w:tcPr>
            <w:tcW w:w="850" w:type="pct"/>
            <w:tcBorders>
              <w:top w:val="nil"/>
              <w:left w:val="single" w:sz="6" w:space="0" w:color="000000"/>
              <w:bottom w:val="single" w:sz="6" w:space="0" w:color="000000"/>
              <w:right w:val="nil"/>
            </w:tcBorders>
            <w:tcMar>
              <w:top w:w="0" w:type="dxa"/>
              <w:left w:w="58" w:type="dxa"/>
              <w:bottom w:w="58" w:type="dxa"/>
              <w:right w:w="0" w:type="dxa"/>
            </w:tcMar>
            <w:hideMark/>
          </w:tcPr>
          <w:p w14:paraId="612F87FE" w14:textId="77777777" w:rsidR="00DC17C2" w:rsidRPr="00D1249D" w:rsidRDefault="00DC17C2" w:rsidP="00DC17C2">
            <w:pPr>
              <w:pStyle w:val="NoSpacing"/>
              <w:rPr>
                <w:lang w:val="nb-NO"/>
              </w:rPr>
            </w:pPr>
            <w:r w:rsidRPr="00D1249D">
              <w:rPr>
                <w:lang w:val="nb-NO"/>
              </w:rPr>
              <w:t>50,227 ms</w:t>
            </w:r>
          </w:p>
        </w:tc>
        <w:tc>
          <w:tcPr>
            <w:tcW w:w="1150" w:type="pct"/>
            <w:tcBorders>
              <w:top w:val="nil"/>
              <w:left w:val="single" w:sz="6" w:space="0" w:color="000000"/>
              <w:bottom w:val="single" w:sz="6" w:space="0" w:color="000000"/>
              <w:right w:val="nil"/>
            </w:tcBorders>
            <w:tcMar>
              <w:top w:w="0" w:type="dxa"/>
              <w:left w:w="58" w:type="dxa"/>
              <w:bottom w:w="58" w:type="dxa"/>
              <w:right w:w="0" w:type="dxa"/>
            </w:tcMar>
            <w:hideMark/>
          </w:tcPr>
          <w:p w14:paraId="7781054B" w14:textId="77777777" w:rsidR="00DC17C2" w:rsidRPr="00D1249D" w:rsidRDefault="00DC17C2" w:rsidP="00DC17C2">
            <w:pPr>
              <w:pStyle w:val="NoSpacing"/>
              <w:rPr>
                <w:lang w:val="nb-NO"/>
              </w:rPr>
            </w:pPr>
            <w:r w:rsidRPr="00D1249D">
              <w:rPr>
                <w:lang w:val="nb-NO"/>
              </w:rPr>
              <w:t>73,503 ms</w:t>
            </w:r>
          </w:p>
        </w:tc>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2BB50F46" w14:textId="77777777" w:rsidR="00DC17C2" w:rsidRPr="00D1249D" w:rsidRDefault="00DC17C2" w:rsidP="00DC17C2">
            <w:pPr>
              <w:pStyle w:val="NoSpacing"/>
              <w:rPr>
                <w:lang w:val="nb-NO"/>
              </w:rPr>
            </w:pPr>
            <w:r w:rsidRPr="00D1249D">
              <w:rPr>
                <w:lang w:val="nb-NO"/>
              </w:rPr>
              <w:t>28,541 s</w:t>
            </w:r>
          </w:p>
        </w:tc>
        <w:tc>
          <w:tcPr>
            <w:tcW w:w="100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5C17C22D" w14:textId="77777777" w:rsidR="00DC17C2" w:rsidRPr="00D1249D" w:rsidRDefault="00DC17C2" w:rsidP="00DC17C2">
            <w:pPr>
              <w:pStyle w:val="NoSpacing"/>
              <w:rPr>
                <w:lang w:val="nb-NO"/>
              </w:rPr>
            </w:pPr>
            <w:r w:rsidRPr="00D1249D">
              <w:rPr>
                <w:lang w:val="nb-NO"/>
              </w:rPr>
              <w:t>66,991 ms</w:t>
            </w:r>
          </w:p>
        </w:tc>
      </w:tr>
      <w:tr w:rsidR="00DC17C2" w:rsidRPr="00D1249D" w14:paraId="4437DC1D" w14:textId="77777777" w:rsidTr="00DC17C2">
        <w:trPr>
          <w:tblCellSpacing w:w="0" w:type="dxa"/>
        </w:trPr>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719DA1DB" w14:textId="77777777" w:rsidR="00DC17C2" w:rsidRPr="00D1249D" w:rsidRDefault="00DC17C2" w:rsidP="00DC17C2">
            <w:pPr>
              <w:pStyle w:val="NoSpacing"/>
              <w:rPr>
                <w:lang w:val="nb-NO"/>
              </w:rPr>
            </w:pPr>
            <w:r w:rsidRPr="00D1249D">
              <w:rPr>
                <w:lang w:val="nb-NO"/>
              </w:rPr>
              <w:t>1000000</w:t>
            </w:r>
          </w:p>
        </w:tc>
        <w:tc>
          <w:tcPr>
            <w:tcW w:w="850" w:type="pct"/>
            <w:tcBorders>
              <w:top w:val="nil"/>
              <w:left w:val="single" w:sz="6" w:space="0" w:color="000000"/>
              <w:bottom w:val="single" w:sz="6" w:space="0" w:color="000000"/>
              <w:right w:val="nil"/>
            </w:tcBorders>
            <w:tcMar>
              <w:top w:w="0" w:type="dxa"/>
              <w:left w:w="58" w:type="dxa"/>
              <w:bottom w:w="58" w:type="dxa"/>
              <w:right w:w="0" w:type="dxa"/>
            </w:tcMar>
            <w:hideMark/>
          </w:tcPr>
          <w:p w14:paraId="4757410D" w14:textId="77777777" w:rsidR="00DC17C2" w:rsidRPr="00D1249D" w:rsidRDefault="00DC17C2" w:rsidP="00DC17C2">
            <w:pPr>
              <w:pStyle w:val="NoSpacing"/>
              <w:rPr>
                <w:lang w:val="nb-NO"/>
              </w:rPr>
            </w:pPr>
            <w:r w:rsidRPr="00D1249D">
              <w:rPr>
                <w:lang w:val="nb-NO"/>
              </w:rPr>
              <w:t>105,537 ms</w:t>
            </w:r>
          </w:p>
        </w:tc>
        <w:tc>
          <w:tcPr>
            <w:tcW w:w="1150" w:type="pct"/>
            <w:tcBorders>
              <w:top w:val="nil"/>
              <w:left w:val="single" w:sz="6" w:space="0" w:color="000000"/>
              <w:bottom w:val="single" w:sz="6" w:space="0" w:color="000000"/>
              <w:right w:val="nil"/>
            </w:tcBorders>
            <w:tcMar>
              <w:top w:w="0" w:type="dxa"/>
              <w:left w:w="58" w:type="dxa"/>
              <w:bottom w:w="58" w:type="dxa"/>
              <w:right w:w="0" w:type="dxa"/>
            </w:tcMar>
            <w:hideMark/>
          </w:tcPr>
          <w:p w14:paraId="7967582D" w14:textId="77777777" w:rsidR="00DC17C2" w:rsidRPr="00D1249D" w:rsidRDefault="00DC17C2" w:rsidP="00DC17C2">
            <w:pPr>
              <w:pStyle w:val="NoSpacing"/>
              <w:rPr>
                <w:lang w:val="nb-NO"/>
              </w:rPr>
            </w:pPr>
            <w:r w:rsidRPr="00D1249D">
              <w:rPr>
                <w:lang w:val="nb-NO"/>
              </w:rPr>
              <w:t>158,409 ms</w:t>
            </w:r>
          </w:p>
        </w:tc>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0CAEA8FE" w14:textId="77777777" w:rsidR="00DC17C2" w:rsidRPr="00D1249D" w:rsidRDefault="00DC17C2" w:rsidP="00DC17C2">
            <w:pPr>
              <w:pStyle w:val="NoSpacing"/>
              <w:rPr>
                <w:lang w:val="nb-NO"/>
              </w:rPr>
            </w:pPr>
            <w:r w:rsidRPr="00D1249D">
              <w:rPr>
                <w:lang w:val="nb-NO"/>
              </w:rPr>
              <w:t>110,816 s</w:t>
            </w:r>
          </w:p>
        </w:tc>
        <w:tc>
          <w:tcPr>
            <w:tcW w:w="100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2395C874" w14:textId="77777777" w:rsidR="00DC17C2" w:rsidRPr="00D1249D" w:rsidRDefault="00DC17C2" w:rsidP="00DC17C2">
            <w:pPr>
              <w:pStyle w:val="NoSpacing"/>
              <w:rPr>
                <w:lang w:val="nb-NO"/>
              </w:rPr>
            </w:pPr>
            <w:r w:rsidRPr="00D1249D">
              <w:rPr>
                <w:lang w:val="nb-NO"/>
              </w:rPr>
              <w:t>135 ms</w:t>
            </w:r>
          </w:p>
        </w:tc>
      </w:tr>
    </w:tbl>
    <w:p w14:paraId="2E041370" w14:textId="77777777" w:rsidR="00DC17C2" w:rsidRPr="00D1249D" w:rsidRDefault="00DC17C2" w:rsidP="00DC17C2">
      <w:pPr>
        <w:pStyle w:val="NoSpacing"/>
        <w:rPr>
          <w:lang w:val="nb-NO"/>
        </w:rPr>
      </w:pPr>
    </w:p>
    <w:p w14:paraId="6D6A6D6D" w14:textId="77777777" w:rsidR="00DC17C2" w:rsidRPr="00D1249D" w:rsidRDefault="00DC17C2" w:rsidP="00DC17C2">
      <w:pPr>
        <w:pStyle w:val="NoSpacing"/>
        <w:rPr>
          <w:lang w:val="nb-NO"/>
        </w:rPr>
      </w:pPr>
      <w:r w:rsidRPr="00D1249D">
        <w:rPr>
          <w:lang w:val="nb-NO"/>
        </w:rPr>
        <w:t xml:space="preserve">Av tabell 1.1 ser vi at når elementene er usorterte, så bruker </w:t>
      </w:r>
      <w:proofErr w:type="spellStart"/>
      <w:r w:rsidRPr="00D1249D">
        <w:rPr>
          <w:lang w:val="nb-NO"/>
        </w:rPr>
        <w:t>quick</w:t>
      </w:r>
      <w:r w:rsidR="00EE7ADA" w:rsidRPr="00D1249D">
        <w:rPr>
          <w:lang w:val="nb-NO"/>
        </w:rPr>
        <w:t>s</w:t>
      </w:r>
      <w:r w:rsidRPr="00D1249D">
        <w:rPr>
          <w:lang w:val="nb-NO"/>
        </w:rPr>
        <w:t>ort</w:t>
      </w:r>
      <w:proofErr w:type="spellEnd"/>
      <w:r w:rsidRPr="00D1249D">
        <w:rPr>
          <w:lang w:val="nb-NO"/>
        </w:rPr>
        <w:t xml:space="preserve"> kortere tid enn </w:t>
      </w:r>
      <w:proofErr w:type="spellStart"/>
      <w:r w:rsidRPr="00D1249D">
        <w:rPr>
          <w:lang w:val="nb-NO"/>
        </w:rPr>
        <w:t>randomizeQuicksort</w:t>
      </w:r>
      <w:proofErr w:type="spellEnd"/>
      <w:r w:rsidRPr="00D1249D">
        <w:rPr>
          <w:lang w:val="nb-NO"/>
        </w:rPr>
        <w:t xml:space="preserve">. Innsettingssortering er den mest effektive i starten med bare 4 nanosekunder for 10 elementer, men den er den mest ineffektive når det går over 10 000 elementer (ved innsetting av 1 000 </w:t>
      </w:r>
      <w:proofErr w:type="spellStart"/>
      <w:r w:rsidRPr="00D1249D">
        <w:rPr>
          <w:lang w:val="nb-NO"/>
        </w:rPr>
        <w:t>000</w:t>
      </w:r>
      <w:proofErr w:type="spellEnd"/>
      <w:r w:rsidRPr="00D1249D">
        <w:rPr>
          <w:lang w:val="nb-NO"/>
        </w:rPr>
        <w:t xml:space="preserve"> usorterte elementer bruker innsettingssortering 1 minutt og 50,816 sekunder). Sammenlikner vi alle algoritmene, ser vi at når elementene er usorterte, så er </w:t>
      </w:r>
      <w:proofErr w:type="spellStart"/>
      <w:r w:rsidRPr="00D1249D">
        <w:rPr>
          <w:lang w:val="nb-NO"/>
        </w:rPr>
        <w:t>quicksort</w:t>
      </w:r>
      <w:proofErr w:type="spellEnd"/>
      <w:r w:rsidRPr="00D1249D">
        <w:rPr>
          <w:lang w:val="nb-NO"/>
        </w:rPr>
        <w:t xml:space="preserve"> gjennomsnittlig den mest effektive algoritmen.</w:t>
      </w:r>
    </w:p>
    <w:p w14:paraId="26F4E237" w14:textId="77777777" w:rsidR="00DC17C2" w:rsidRPr="00D1249D" w:rsidRDefault="00DC17C2" w:rsidP="00DC17C2">
      <w:pPr>
        <w:pStyle w:val="NoSpacing"/>
        <w:rPr>
          <w:lang w:val="nb-NO"/>
        </w:rPr>
      </w:pPr>
    </w:p>
    <w:p w14:paraId="1B9715F3" w14:textId="77777777" w:rsidR="0092528F" w:rsidRPr="00D1249D" w:rsidRDefault="0092528F" w:rsidP="00DC17C2">
      <w:pPr>
        <w:pStyle w:val="NoSpacing"/>
        <w:rPr>
          <w:lang w:val="nb-NO"/>
        </w:rPr>
      </w:pPr>
    </w:p>
    <w:p w14:paraId="0E31C713" w14:textId="77777777" w:rsidR="0092528F" w:rsidRPr="00D1249D" w:rsidRDefault="0092528F" w:rsidP="00DC17C2">
      <w:pPr>
        <w:pStyle w:val="NoSpacing"/>
        <w:rPr>
          <w:lang w:val="nb-NO"/>
        </w:rPr>
      </w:pPr>
    </w:p>
    <w:p w14:paraId="26AED56F" w14:textId="77777777" w:rsidR="0092528F" w:rsidRPr="00D1249D" w:rsidRDefault="0092528F" w:rsidP="00DC17C2">
      <w:pPr>
        <w:pStyle w:val="NoSpacing"/>
        <w:rPr>
          <w:lang w:val="nb-NO"/>
        </w:rPr>
      </w:pPr>
    </w:p>
    <w:p w14:paraId="1C3EB946" w14:textId="77777777" w:rsidR="00DC17C2" w:rsidRPr="00D1249D" w:rsidRDefault="00DC17C2" w:rsidP="00DC17C2">
      <w:pPr>
        <w:pStyle w:val="NoSpacing"/>
        <w:rPr>
          <w:lang w:val="nb-NO"/>
        </w:rPr>
      </w:pPr>
      <w:r w:rsidRPr="00D1249D">
        <w:rPr>
          <w:lang w:val="nb-NO"/>
        </w:rPr>
        <w:t xml:space="preserve">Tabell 1.2: Sammenlikning mellom </w:t>
      </w:r>
      <w:proofErr w:type="spellStart"/>
      <w:r w:rsidRPr="00D1249D">
        <w:rPr>
          <w:lang w:val="nb-NO"/>
        </w:rPr>
        <w:t>quicksort</w:t>
      </w:r>
      <w:proofErr w:type="spellEnd"/>
      <w:r w:rsidRPr="00D1249D">
        <w:rPr>
          <w:lang w:val="nb-NO"/>
        </w:rPr>
        <w:t xml:space="preserve">, </w:t>
      </w:r>
      <w:proofErr w:type="spellStart"/>
      <w:r w:rsidRPr="00D1249D">
        <w:rPr>
          <w:lang w:val="nb-NO"/>
        </w:rPr>
        <w:t>randomizeQuicksort</w:t>
      </w:r>
      <w:proofErr w:type="spellEnd"/>
      <w:r w:rsidRPr="00D1249D">
        <w:rPr>
          <w:lang w:val="nb-NO"/>
        </w:rPr>
        <w:t>, innsettingssortering (</w:t>
      </w:r>
      <w:proofErr w:type="spellStart"/>
      <w:r w:rsidRPr="00D1249D">
        <w:rPr>
          <w:lang w:val="nb-NO"/>
        </w:rPr>
        <w:t>insertion</w:t>
      </w:r>
      <w:proofErr w:type="spellEnd"/>
      <w:r w:rsidRPr="00D1249D">
        <w:rPr>
          <w:lang w:val="nb-NO"/>
        </w:rPr>
        <w:t xml:space="preserve"> sort) og flettesortering (</w:t>
      </w:r>
      <w:proofErr w:type="spellStart"/>
      <w:r w:rsidRPr="00D1249D">
        <w:rPr>
          <w:lang w:val="nb-NO"/>
        </w:rPr>
        <w:t>merge</w:t>
      </w:r>
      <w:proofErr w:type="spellEnd"/>
      <w:r w:rsidRPr="00D1249D">
        <w:rPr>
          <w:lang w:val="nb-NO"/>
        </w:rPr>
        <w:t xml:space="preserve"> sort) for omvendt sorterte elementer:</w:t>
      </w:r>
    </w:p>
    <w:tbl>
      <w:tblPr>
        <w:tblW w:w="5000" w:type="pct"/>
        <w:tblCellSpacing w:w="0" w:type="dxa"/>
        <w:tblCellMar>
          <w:top w:w="100" w:type="dxa"/>
          <w:left w:w="100" w:type="dxa"/>
          <w:bottom w:w="100" w:type="dxa"/>
          <w:right w:w="100" w:type="dxa"/>
        </w:tblCellMar>
        <w:tblLook w:val="04A0" w:firstRow="1" w:lastRow="0" w:firstColumn="1" w:lastColumn="0" w:noHBand="0" w:noVBand="1"/>
      </w:tblPr>
      <w:tblGrid>
        <w:gridCol w:w="1690"/>
        <w:gridCol w:w="1689"/>
        <w:gridCol w:w="1689"/>
        <w:gridCol w:w="1689"/>
        <w:gridCol w:w="1689"/>
      </w:tblGrid>
      <w:tr w:rsidR="00DC17C2" w:rsidRPr="00D1249D" w14:paraId="02EDA142" w14:textId="77777777" w:rsidTr="00DC17C2">
        <w:trPr>
          <w:tblCellSpacing w:w="0" w:type="dxa"/>
        </w:trPr>
        <w:tc>
          <w:tcPr>
            <w:tcW w:w="1000" w:type="pct"/>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14:paraId="2D5683E1" w14:textId="77777777" w:rsidR="00DC17C2" w:rsidRPr="00D1249D" w:rsidRDefault="00DC17C2" w:rsidP="00DC17C2">
            <w:pPr>
              <w:pStyle w:val="NoSpacing"/>
              <w:rPr>
                <w:lang w:val="nb-NO"/>
              </w:rPr>
            </w:pPr>
            <w:r w:rsidRPr="00D1249D">
              <w:rPr>
                <w:lang w:val="nb-NO"/>
              </w:rPr>
              <w:t>Input</w:t>
            </w:r>
          </w:p>
        </w:tc>
        <w:tc>
          <w:tcPr>
            <w:tcW w:w="1000" w:type="pct"/>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14:paraId="6B0E1338" w14:textId="77777777" w:rsidR="00DC17C2" w:rsidRPr="00D1249D" w:rsidRDefault="00DC17C2" w:rsidP="00DC17C2">
            <w:pPr>
              <w:pStyle w:val="NoSpacing"/>
              <w:rPr>
                <w:lang w:val="nb-NO"/>
              </w:rPr>
            </w:pPr>
            <w:proofErr w:type="spellStart"/>
            <w:r w:rsidRPr="00D1249D">
              <w:rPr>
                <w:lang w:val="nb-NO"/>
              </w:rPr>
              <w:t>Quicksort</w:t>
            </w:r>
            <w:proofErr w:type="spellEnd"/>
          </w:p>
        </w:tc>
        <w:tc>
          <w:tcPr>
            <w:tcW w:w="1000" w:type="pct"/>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14:paraId="16044C4C" w14:textId="77777777" w:rsidR="00DC17C2" w:rsidRPr="00D1249D" w:rsidRDefault="00DC17C2" w:rsidP="00DC17C2">
            <w:pPr>
              <w:pStyle w:val="NoSpacing"/>
              <w:rPr>
                <w:lang w:val="nb-NO"/>
              </w:rPr>
            </w:pPr>
            <w:proofErr w:type="spellStart"/>
            <w:r w:rsidRPr="00D1249D">
              <w:rPr>
                <w:lang w:val="nb-NO"/>
              </w:rPr>
              <w:t>Randomize-Quicksort</w:t>
            </w:r>
            <w:proofErr w:type="spellEnd"/>
          </w:p>
        </w:tc>
        <w:tc>
          <w:tcPr>
            <w:tcW w:w="1000" w:type="pct"/>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14:paraId="3DEFCA50" w14:textId="77777777" w:rsidR="00DC17C2" w:rsidRPr="00D1249D" w:rsidRDefault="00DC17C2" w:rsidP="00DC17C2">
            <w:pPr>
              <w:pStyle w:val="NoSpacing"/>
              <w:rPr>
                <w:lang w:val="nb-NO"/>
              </w:rPr>
            </w:pPr>
            <w:r w:rsidRPr="00D1249D">
              <w:rPr>
                <w:lang w:val="nb-NO"/>
              </w:rPr>
              <w:t>Innsettings-sortering</w:t>
            </w:r>
          </w:p>
        </w:tc>
        <w:tc>
          <w:tcPr>
            <w:tcW w:w="1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33313C93" w14:textId="77777777" w:rsidR="00DC17C2" w:rsidRPr="00D1249D" w:rsidRDefault="00DC17C2" w:rsidP="00DC17C2">
            <w:pPr>
              <w:pStyle w:val="NoSpacing"/>
              <w:rPr>
                <w:lang w:val="nb-NO"/>
              </w:rPr>
            </w:pPr>
            <w:r w:rsidRPr="00D1249D">
              <w:rPr>
                <w:lang w:val="nb-NO"/>
              </w:rPr>
              <w:t>Flettesortering</w:t>
            </w:r>
          </w:p>
        </w:tc>
      </w:tr>
      <w:tr w:rsidR="00DC17C2" w:rsidRPr="00D1249D" w14:paraId="028D68D7" w14:textId="77777777" w:rsidTr="00DC17C2">
        <w:trPr>
          <w:tblCellSpacing w:w="0" w:type="dxa"/>
        </w:trPr>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715009E2" w14:textId="77777777" w:rsidR="00DC17C2" w:rsidRPr="00D1249D" w:rsidRDefault="00DC17C2" w:rsidP="00DC17C2">
            <w:pPr>
              <w:pStyle w:val="NoSpacing"/>
              <w:rPr>
                <w:lang w:val="nb-NO"/>
              </w:rPr>
            </w:pPr>
            <w:r w:rsidRPr="00D1249D">
              <w:rPr>
                <w:lang w:val="nb-NO"/>
              </w:rPr>
              <w:t>10</w:t>
            </w:r>
          </w:p>
        </w:tc>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26982A0D" w14:textId="77777777" w:rsidR="00DC17C2" w:rsidRPr="00D1249D" w:rsidRDefault="00DC17C2" w:rsidP="00DC17C2">
            <w:pPr>
              <w:pStyle w:val="NoSpacing"/>
              <w:rPr>
                <w:lang w:val="nb-NO"/>
              </w:rPr>
            </w:pPr>
            <w:r w:rsidRPr="00D1249D">
              <w:rPr>
                <w:lang w:val="nb-NO"/>
              </w:rPr>
              <w:t xml:space="preserve">9,583 </w:t>
            </w:r>
            <w:r w:rsidRPr="00D1249D">
              <w:rPr>
                <w:color w:val="1C1C1C"/>
                <w:lang w:val="nb-NO"/>
              </w:rPr>
              <w:t>µ</w:t>
            </w:r>
            <w:r w:rsidRPr="00D1249D">
              <w:rPr>
                <w:lang w:val="nb-NO"/>
              </w:rPr>
              <w:t>s</w:t>
            </w:r>
          </w:p>
        </w:tc>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3692045F" w14:textId="77777777" w:rsidR="00DC17C2" w:rsidRPr="00D1249D" w:rsidRDefault="00DC17C2" w:rsidP="00DC17C2">
            <w:pPr>
              <w:pStyle w:val="NoSpacing"/>
              <w:rPr>
                <w:lang w:val="nb-NO"/>
              </w:rPr>
            </w:pPr>
            <w:r w:rsidRPr="00D1249D">
              <w:rPr>
                <w:lang w:val="nb-NO"/>
              </w:rPr>
              <w:t xml:space="preserve">514,268 </w:t>
            </w:r>
            <w:r w:rsidRPr="00D1249D">
              <w:rPr>
                <w:color w:val="1C1C1C"/>
                <w:lang w:val="nb-NO"/>
              </w:rPr>
              <w:t>µ</w:t>
            </w:r>
            <w:r w:rsidRPr="00D1249D">
              <w:rPr>
                <w:lang w:val="nb-NO"/>
              </w:rPr>
              <w:t>s</w:t>
            </w:r>
          </w:p>
        </w:tc>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1ABE8D93" w14:textId="77777777" w:rsidR="00DC17C2" w:rsidRPr="00D1249D" w:rsidRDefault="00DC17C2" w:rsidP="00DC17C2">
            <w:pPr>
              <w:pStyle w:val="NoSpacing"/>
              <w:rPr>
                <w:lang w:val="nb-NO"/>
              </w:rPr>
            </w:pPr>
            <w:r w:rsidRPr="00D1249D">
              <w:rPr>
                <w:lang w:val="nb-NO"/>
              </w:rPr>
              <w:t xml:space="preserve">4,525 </w:t>
            </w:r>
            <w:r w:rsidRPr="00D1249D">
              <w:rPr>
                <w:color w:val="1C1C1C"/>
                <w:lang w:val="nb-NO"/>
              </w:rPr>
              <w:t>µ</w:t>
            </w:r>
            <w:r w:rsidRPr="00D1249D">
              <w:rPr>
                <w:lang w:val="nb-NO"/>
              </w:rPr>
              <w:t>s</w:t>
            </w:r>
          </w:p>
        </w:tc>
        <w:tc>
          <w:tcPr>
            <w:tcW w:w="100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1B4A0ACF" w14:textId="77777777" w:rsidR="00DC17C2" w:rsidRPr="00D1249D" w:rsidRDefault="00DC17C2" w:rsidP="00DC17C2">
            <w:pPr>
              <w:pStyle w:val="NoSpacing"/>
              <w:rPr>
                <w:lang w:val="nb-NO"/>
              </w:rPr>
            </w:pPr>
            <w:r w:rsidRPr="00D1249D">
              <w:rPr>
                <w:lang w:val="nb-NO"/>
              </w:rPr>
              <w:t xml:space="preserve">14,573 </w:t>
            </w:r>
            <w:r w:rsidRPr="00D1249D">
              <w:rPr>
                <w:color w:val="1C1C1C"/>
                <w:lang w:val="nb-NO"/>
              </w:rPr>
              <w:t>µ</w:t>
            </w:r>
            <w:r w:rsidRPr="00D1249D">
              <w:rPr>
                <w:lang w:val="nb-NO"/>
              </w:rPr>
              <w:t>s</w:t>
            </w:r>
          </w:p>
        </w:tc>
      </w:tr>
      <w:tr w:rsidR="00DC17C2" w:rsidRPr="00D1249D" w14:paraId="4D63C1D4" w14:textId="77777777" w:rsidTr="00DC17C2">
        <w:trPr>
          <w:tblCellSpacing w:w="0" w:type="dxa"/>
        </w:trPr>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05FBB815" w14:textId="77777777" w:rsidR="00DC17C2" w:rsidRPr="00D1249D" w:rsidRDefault="00DC17C2" w:rsidP="00DC17C2">
            <w:pPr>
              <w:pStyle w:val="NoSpacing"/>
              <w:rPr>
                <w:lang w:val="nb-NO"/>
              </w:rPr>
            </w:pPr>
            <w:r w:rsidRPr="00D1249D">
              <w:rPr>
                <w:lang w:val="nb-NO"/>
              </w:rPr>
              <w:t>100</w:t>
            </w:r>
          </w:p>
        </w:tc>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24D1A50C" w14:textId="77777777" w:rsidR="00DC17C2" w:rsidRPr="00D1249D" w:rsidRDefault="00DC17C2" w:rsidP="00DC17C2">
            <w:pPr>
              <w:pStyle w:val="NoSpacing"/>
              <w:rPr>
                <w:lang w:val="nb-NO"/>
              </w:rPr>
            </w:pPr>
            <w:r w:rsidRPr="00D1249D">
              <w:rPr>
                <w:lang w:val="nb-NO"/>
              </w:rPr>
              <w:t xml:space="preserve">342,509 </w:t>
            </w:r>
            <w:r w:rsidRPr="00D1249D">
              <w:rPr>
                <w:color w:val="1C1C1C"/>
                <w:lang w:val="nb-NO"/>
              </w:rPr>
              <w:t>µ</w:t>
            </w:r>
            <w:r w:rsidRPr="00D1249D">
              <w:rPr>
                <w:lang w:val="nb-NO"/>
              </w:rPr>
              <w:t>s</w:t>
            </w:r>
          </w:p>
        </w:tc>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19B5764C" w14:textId="77777777" w:rsidR="00DC17C2" w:rsidRPr="00D1249D" w:rsidRDefault="00DC17C2" w:rsidP="00DC17C2">
            <w:pPr>
              <w:pStyle w:val="NoSpacing"/>
              <w:rPr>
                <w:lang w:val="nb-NO"/>
              </w:rPr>
            </w:pPr>
            <w:r w:rsidRPr="00D1249D">
              <w:rPr>
                <w:lang w:val="nb-NO"/>
              </w:rPr>
              <w:t>1,199 ms</w:t>
            </w:r>
          </w:p>
        </w:tc>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61880DFF" w14:textId="77777777" w:rsidR="00DC17C2" w:rsidRPr="00D1249D" w:rsidRDefault="00DC17C2" w:rsidP="00DC17C2">
            <w:pPr>
              <w:pStyle w:val="NoSpacing"/>
              <w:rPr>
                <w:lang w:val="nb-NO"/>
              </w:rPr>
            </w:pPr>
            <w:r w:rsidRPr="00D1249D">
              <w:rPr>
                <w:lang w:val="nb-NO"/>
              </w:rPr>
              <w:t xml:space="preserve">126,258 </w:t>
            </w:r>
            <w:r w:rsidRPr="00D1249D">
              <w:rPr>
                <w:color w:val="1C1C1C"/>
                <w:lang w:val="nb-NO"/>
              </w:rPr>
              <w:t>µ</w:t>
            </w:r>
            <w:r w:rsidRPr="00D1249D">
              <w:rPr>
                <w:lang w:val="nb-NO"/>
              </w:rPr>
              <w:t>s</w:t>
            </w:r>
          </w:p>
        </w:tc>
        <w:tc>
          <w:tcPr>
            <w:tcW w:w="100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3B8DE3AA" w14:textId="77777777" w:rsidR="00DC17C2" w:rsidRPr="00D1249D" w:rsidRDefault="00DC17C2" w:rsidP="00DC17C2">
            <w:pPr>
              <w:pStyle w:val="NoSpacing"/>
              <w:rPr>
                <w:lang w:val="nb-NO"/>
              </w:rPr>
            </w:pPr>
            <w:r w:rsidRPr="00D1249D">
              <w:rPr>
                <w:lang w:val="nb-NO"/>
              </w:rPr>
              <w:t xml:space="preserve">70,955 </w:t>
            </w:r>
            <w:r w:rsidRPr="00D1249D">
              <w:rPr>
                <w:color w:val="1C1C1C"/>
                <w:lang w:val="nb-NO"/>
              </w:rPr>
              <w:t>µ</w:t>
            </w:r>
            <w:r w:rsidRPr="00D1249D">
              <w:rPr>
                <w:lang w:val="nb-NO"/>
              </w:rPr>
              <w:t>s</w:t>
            </w:r>
          </w:p>
        </w:tc>
      </w:tr>
      <w:tr w:rsidR="00DC17C2" w:rsidRPr="00D1249D" w14:paraId="3C350EDB" w14:textId="77777777" w:rsidTr="00DC17C2">
        <w:trPr>
          <w:tblCellSpacing w:w="0" w:type="dxa"/>
        </w:trPr>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070FD064" w14:textId="77777777" w:rsidR="00DC17C2" w:rsidRPr="00D1249D" w:rsidRDefault="00DC17C2" w:rsidP="00DC17C2">
            <w:pPr>
              <w:pStyle w:val="NoSpacing"/>
              <w:rPr>
                <w:lang w:val="nb-NO"/>
              </w:rPr>
            </w:pPr>
            <w:r w:rsidRPr="00D1249D">
              <w:rPr>
                <w:lang w:val="nb-NO"/>
              </w:rPr>
              <w:t>1 000</w:t>
            </w:r>
          </w:p>
        </w:tc>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04BA2ECD" w14:textId="77777777" w:rsidR="00DC17C2" w:rsidRPr="00D1249D" w:rsidRDefault="00DC17C2" w:rsidP="00DC17C2">
            <w:pPr>
              <w:pStyle w:val="NoSpacing"/>
              <w:rPr>
                <w:lang w:val="nb-NO"/>
              </w:rPr>
            </w:pPr>
            <w:r w:rsidRPr="00D1249D">
              <w:rPr>
                <w:lang w:val="nb-NO"/>
              </w:rPr>
              <w:t>10,415 ms</w:t>
            </w:r>
          </w:p>
        </w:tc>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75A210DD" w14:textId="77777777" w:rsidR="00DC17C2" w:rsidRPr="00D1249D" w:rsidRDefault="00DC17C2" w:rsidP="00DC17C2">
            <w:pPr>
              <w:pStyle w:val="NoSpacing"/>
              <w:rPr>
                <w:lang w:val="nb-NO"/>
              </w:rPr>
            </w:pPr>
            <w:r w:rsidRPr="00D1249D">
              <w:rPr>
                <w:lang w:val="nb-NO"/>
              </w:rPr>
              <w:t>2,671 ms</w:t>
            </w:r>
          </w:p>
        </w:tc>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656DD66F" w14:textId="77777777" w:rsidR="00DC17C2" w:rsidRPr="00D1249D" w:rsidRDefault="00DC17C2" w:rsidP="00DC17C2">
            <w:pPr>
              <w:pStyle w:val="NoSpacing"/>
              <w:rPr>
                <w:lang w:val="nb-NO"/>
              </w:rPr>
            </w:pPr>
            <w:r w:rsidRPr="00D1249D">
              <w:rPr>
                <w:lang w:val="nb-NO"/>
              </w:rPr>
              <w:t>6,740 ms</w:t>
            </w:r>
          </w:p>
        </w:tc>
        <w:tc>
          <w:tcPr>
            <w:tcW w:w="100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41C84CBF" w14:textId="77777777" w:rsidR="00DC17C2" w:rsidRPr="00D1249D" w:rsidRDefault="00DC17C2" w:rsidP="00DC17C2">
            <w:pPr>
              <w:pStyle w:val="NoSpacing"/>
              <w:rPr>
                <w:lang w:val="nb-NO"/>
              </w:rPr>
            </w:pPr>
            <w:r w:rsidRPr="00D1249D">
              <w:rPr>
                <w:lang w:val="nb-NO"/>
              </w:rPr>
              <w:t xml:space="preserve">798,142 </w:t>
            </w:r>
            <w:r w:rsidRPr="00D1249D">
              <w:rPr>
                <w:color w:val="1C1C1C"/>
                <w:lang w:val="nb-NO"/>
              </w:rPr>
              <w:t>µ</w:t>
            </w:r>
            <w:r w:rsidRPr="00D1249D">
              <w:rPr>
                <w:lang w:val="nb-NO"/>
              </w:rPr>
              <w:t>s</w:t>
            </w:r>
          </w:p>
        </w:tc>
      </w:tr>
      <w:tr w:rsidR="00DC17C2" w:rsidRPr="00D1249D" w14:paraId="0F7F6DC9" w14:textId="77777777" w:rsidTr="00DC17C2">
        <w:trPr>
          <w:tblCellSpacing w:w="0" w:type="dxa"/>
        </w:trPr>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5A87CEBC" w14:textId="77777777" w:rsidR="00DC17C2" w:rsidRPr="00D1249D" w:rsidRDefault="00DC17C2" w:rsidP="00DC17C2">
            <w:pPr>
              <w:pStyle w:val="NoSpacing"/>
              <w:rPr>
                <w:lang w:val="nb-NO"/>
              </w:rPr>
            </w:pPr>
            <w:r w:rsidRPr="00D1249D">
              <w:rPr>
                <w:lang w:val="nb-NO"/>
              </w:rPr>
              <w:t>10 000</w:t>
            </w:r>
          </w:p>
        </w:tc>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2712E0B5" w14:textId="77777777" w:rsidR="00DC17C2" w:rsidRPr="00D1249D" w:rsidRDefault="00DC17C2" w:rsidP="00DC17C2">
            <w:pPr>
              <w:pStyle w:val="NoSpacing"/>
              <w:rPr>
                <w:lang w:val="nb-NO"/>
              </w:rPr>
            </w:pPr>
            <w:r w:rsidRPr="00D1249D">
              <w:rPr>
                <w:lang w:val="nb-NO"/>
              </w:rPr>
              <w:t>72,672 ms</w:t>
            </w:r>
          </w:p>
        </w:tc>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1A435480" w14:textId="77777777" w:rsidR="00DC17C2" w:rsidRPr="00D1249D" w:rsidRDefault="00DC17C2" w:rsidP="00DC17C2">
            <w:pPr>
              <w:pStyle w:val="NoSpacing"/>
              <w:rPr>
                <w:lang w:val="nb-NO"/>
              </w:rPr>
            </w:pPr>
            <w:r w:rsidRPr="00D1249D">
              <w:rPr>
                <w:lang w:val="nb-NO"/>
              </w:rPr>
              <w:t>8,757 ms</w:t>
            </w:r>
          </w:p>
        </w:tc>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240D76B0" w14:textId="77777777" w:rsidR="00DC17C2" w:rsidRPr="00D1249D" w:rsidRDefault="00DC17C2" w:rsidP="00DC17C2">
            <w:pPr>
              <w:pStyle w:val="NoSpacing"/>
              <w:rPr>
                <w:lang w:val="nb-NO"/>
              </w:rPr>
            </w:pPr>
            <w:r w:rsidRPr="00D1249D">
              <w:rPr>
                <w:lang w:val="nb-NO"/>
              </w:rPr>
              <w:t>52,724 ms</w:t>
            </w:r>
          </w:p>
        </w:tc>
        <w:tc>
          <w:tcPr>
            <w:tcW w:w="100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338EFCA7" w14:textId="77777777" w:rsidR="00DC17C2" w:rsidRPr="00D1249D" w:rsidRDefault="00DC17C2" w:rsidP="00DC17C2">
            <w:pPr>
              <w:pStyle w:val="NoSpacing"/>
              <w:rPr>
                <w:lang w:val="nb-NO"/>
              </w:rPr>
            </w:pPr>
            <w:r w:rsidRPr="00D1249D">
              <w:rPr>
                <w:lang w:val="nb-NO"/>
              </w:rPr>
              <w:t>2,454 ms</w:t>
            </w:r>
          </w:p>
        </w:tc>
      </w:tr>
      <w:tr w:rsidR="00DC17C2" w:rsidRPr="00D1249D" w14:paraId="5B5903A4" w14:textId="77777777" w:rsidTr="00DC17C2">
        <w:trPr>
          <w:tblCellSpacing w:w="0" w:type="dxa"/>
        </w:trPr>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26A366B4" w14:textId="77777777" w:rsidR="00DC17C2" w:rsidRPr="00D1249D" w:rsidRDefault="00DC17C2" w:rsidP="00DC17C2">
            <w:pPr>
              <w:pStyle w:val="NoSpacing"/>
              <w:rPr>
                <w:lang w:val="nb-NO"/>
              </w:rPr>
            </w:pPr>
            <w:r w:rsidRPr="00D1249D">
              <w:rPr>
                <w:lang w:val="nb-NO"/>
              </w:rPr>
              <w:t>100 000</w:t>
            </w:r>
          </w:p>
        </w:tc>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65A7C115" w14:textId="77777777" w:rsidR="00DC17C2" w:rsidRPr="00D1249D" w:rsidRDefault="00DC17C2" w:rsidP="00DC17C2">
            <w:pPr>
              <w:pStyle w:val="NoSpacing"/>
              <w:rPr>
                <w:lang w:val="nb-NO"/>
              </w:rPr>
            </w:pPr>
            <w:r w:rsidRPr="00D1249D">
              <w:rPr>
                <w:lang w:val="nb-NO"/>
              </w:rPr>
              <w:t>5,101 s</w:t>
            </w:r>
          </w:p>
        </w:tc>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6FA73D95" w14:textId="77777777" w:rsidR="00DC17C2" w:rsidRPr="00D1249D" w:rsidRDefault="00DC17C2" w:rsidP="00DC17C2">
            <w:pPr>
              <w:pStyle w:val="NoSpacing"/>
              <w:rPr>
                <w:lang w:val="nb-NO"/>
              </w:rPr>
            </w:pPr>
            <w:r w:rsidRPr="00D1249D">
              <w:rPr>
                <w:lang w:val="nb-NO"/>
              </w:rPr>
              <w:t>19,849 ms</w:t>
            </w:r>
          </w:p>
        </w:tc>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7DF2801A" w14:textId="77777777" w:rsidR="00DC17C2" w:rsidRPr="00D1249D" w:rsidRDefault="00DC17C2" w:rsidP="00DC17C2">
            <w:pPr>
              <w:pStyle w:val="NoSpacing"/>
              <w:rPr>
                <w:lang w:val="nb-NO"/>
              </w:rPr>
            </w:pPr>
            <w:r w:rsidRPr="00D1249D">
              <w:rPr>
                <w:lang w:val="nb-NO"/>
              </w:rPr>
              <w:t>2,133 s</w:t>
            </w:r>
          </w:p>
        </w:tc>
        <w:tc>
          <w:tcPr>
            <w:tcW w:w="100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5B2952C4" w14:textId="77777777" w:rsidR="00DC17C2" w:rsidRPr="00D1249D" w:rsidRDefault="00DC17C2" w:rsidP="00DC17C2">
            <w:pPr>
              <w:pStyle w:val="NoSpacing"/>
              <w:rPr>
                <w:lang w:val="nb-NO"/>
              </w:rPr>
            </w:pPr>
            <w:r w:rsidRPr="00D1249D">
              <w:rPr>
                <w:lang w:val="nb-NO"/>
              </w:rPr>
              <w:t>12,039 ms</w:t>
            </w:r>
          </w:p>
        </w:tc>
      </w:tr>
      <w:tr w:rsidR="00DC17C2" w:rsidRPr="00D1249D" w14:paraId="3A9433B5" w14:textId="77777777" w:rsidTr="00DC17C2">
        <w:trPr>
          <w:tblCellSpacing w:w="0" w:type="dxa"/>
        </w:trPr>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00ED8DA3" w14:textId="77777777" w:rsidR="00DC17C2" w:rsidRPr="00D1249D" w:rsidRDefault="00DC17C2" w:rsidP="00DC17C2">
            <w:pPr>
              <w:pStyle w:val="NoSpacing"/>
              <w:rPr>
                <w:lang w:val="nb-NO"/>
              </w:rPr>
            </w:pPr>
            <w:r w:rsidRPr="00D1249D">
              <w:rPr>
                <w:lang w:val="nb-NO"/>
              </w:rPr>
              <w:t>500 000</w:t>
            </w:r>
          </w:p>
        </w:tc>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345F5EA3" w14:textId="77777777" w:rsidR="00DC17C2" w:rsidRPr="00D1249D" w:rsidRDefault="00DC17C2" w:rsidP="00DC17C2">
            <w:pPr>
              <w:pStyle w:val="NoSpacing"/>
              <w:rPr>
                <w:lang w:val="nb-NO"/>
              </w:rPr>
            </w:pPr>
            <w:r w:rsidRPr="00D1249D">
              <w:rPr>
                <w:lang w:val="nb-NO"/>
              </w:rPr>
              <w:t>1 min 45,166 s</w:t>
            </w:r>
          </w:p>
        </w:tc>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49BE6470" w14:textId="77777777" w:rsidR="00DC17C2" w:rsidRPr="00D1249D" w:rsidRDefault="00DC17C2" w:rsidP="00DC17C2">
            <w:pPr>
              <w:pStyle w:val="NoSpacing"/>
              <w:rPr>
                <w:lang w:val="nb-NO"/>
              </w:rPr>
            </w:pPr>
            <w:r w:rsidRPr="00D1249D">
              <w:rPr>
                <w:lang w:val="nb-NO"/>
              </w:rPr>
              <w:t>57,042 ms</w:t>
            </w:r>
          </w:p>
        </w:tc>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281FFE22" w14:textId="77777777" w:rsidR="00DC17C2" w:rsidRPr="00D1249D" w:rsidRDefault="00DC17C2" w:rsidP="00DC17C2">
            <w:pPr>
              <w:pStyle w:val="NoSpacing"/>
              <w:rPr>
                <w:lang w:val="nb-NO"/>
              </w:rPr>
            </w:pPr>
            <w:r w:rsidRPr="00D1249D">
              <w:rPr>
                <w:lang w:val="nb-NO"/>
              </w:rPr>
              <w:t>53,456 s</w:t>
            </w:r>
          </w:p>
        </w:tc>
        <w:tc>
          <w:tcPr>
            <w:tcW w:w="100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6E652DA0" w14:textId="77777777" w:rsidR="00DC17C2" w:rsidRPr="00D1249D" w:rsidRDefault="00DC17C2" w:rsidP="00DC17C2">
            <w:pPr>
              <w:pStyle w:val="NoSpacing"/>
              <w:rPr>
                <w:lang w:val="nb-NO"/>
              </w:rPr>
            </w:pPr>
            <w:r w:rsidRPr="00D1249D">
              <w:rPr>
                <w:lang w:val="nb-NO"/>
              </w:rPr>
              <w:t>30,348 ms</w:t>
            </w:r>
          </w:p>
        </w:tc>
      </w:tr>
      <w:tr w:rsidR="00DC17C2" w:rsidRPr="00D1249D" w14:paraId="06DEACEB" w14:textId="77777777" w:rsidTr="00DC17C2">
        <w:trPr>
          <w:tblCellSpacing w:w="0" w:type="dxa"/>
        </w:trPr>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629085D6" w14:textId="77777777" w:rsidR="00DC17C2" w:rsidRPr="00D1249D" w:rsidRDefault="00DC17C2" w:rsidP="00DC17C2">
            <w:pPr>
              <w:pStyle w:val="NoSpacing"/>
              <w:rPr>
                <w:lang w:val="nb-NO"/>
              </w:rPr>
            </w:pPr>
            <w:r w:rsidRPr="00D1249D">
              <w:rPr>
                <w:lang w:val="nb-NO"/>
              </w:rPr>
              <w:t xml:space="preserve">1 000 </w:t>
            </w:r>
            <w:proofErr w:type="spellStart"/>
            <w:r w:rsidRPr="00D1249D">
              <w:rPr>
                <w:lang w:val="nb-NO"/>
              </w:rPr>
              <w:t>000</w:t>
            </w:r>
            <w:proofErr w:type="spellEnd"/>
          </w:p>
        </w:tc>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5D6B4FD6" w14:textId="77777777" w:rsidR="00DC17C2" w:rsidRPr="00D1249D" w:rsidRDefault="00DC17C2" w:rsidP="00DC17C2">
            <w:pPr>
              <w:pStyle w:val="NoSpacing"/>
              <w:rPr>
                <w:lang w:val="nb-NO"/>
              </w:rPr>
            </w:pPr>
            <w:r w:rsidRPr="00D1249D">
              <w:rPr>
                <w:lang w:val="nb-NO"/>
              </w:rPr>
              <w:t>8 min 3,787 s</w:t>
            </w:r>
          </w:p>
        </w:tc>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78E2B090" w14:textId="77777777" w:rsidR="00DC17C2" w:rsidRPr="00D1249D" w:rsidRDefault="00DC17C2" w:rsidP="00DC17C2">
            <w:pPr>
              <w:pStyle w:val="NoSpacing"/>
              <w:rPr>
                <w:lang w:val="nb-NO"/>
              </w:rPr>
            </w:pPr>
            <w:r w:rsidRPr="00D1249D">
              <w:rPr>
                <w:lang w:val="nb-NO"/>
              </w:rPr>
              <w:t>119,444 ms</w:t>
            </w:r>
          </w:p>
        </w:tc>
        <w:tc>
          <w:tcPr>
            <w:tcW w:w="1000" w:type="pct"/>
            <w:tcBorders>
              <w:top w:val="nil"/>
              <w:left w:val="single" w:sz="6" w:space="0" w:color="000000"/>
              <w:bottom w:val="single" w:sz="6" w:space="0" w:color="000000"/>
              <w:right w:val="nil"/>
            </w:tcBorders>
            <w:tcMar>
              <w:top w:w="0" w:type="dxa"/>
              <w:left w:w="58" w:type="dxa"/>
              <w:bottom w:w="58" w:type="dxa"/>
              <w:right w:w="0" w:type="dxa"/>
            </w:tcMar>
            <w:hideMark/>
          </w:tcPr>
          <w:p w14:paraId="2B9C6CC4" w14:textId="77777777" w:rsidR="00DC17C2" w:rsidRPr="00D1249D" w:rsidRDefault="00DC17C2" w:rsidP="00DC17C2">
            <w:pPr>
              <w:pStyle w:val="NoSpacing"/>
              <w:rPr>
                <w:lang w:val="nb-NO"/>
              </w:rPr>
            </w:pPr>
            <w:r w:rsidRPr="00D1249D">
              <w:rPr>
                <w:lang w:val="nb-NO"/>
              </w:rPr>
              <w:t>3 min 36,276 s</w:t>
            </w:r>
          </w:p>
        </w:tc>
        <w:tc>
          <w:tcPr>
            <w:tcW w:w="100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2B0556C6" w14:textId="77777777" w:rsidR="00DC17C2" w:rsidRPr="00D1249D" w:rsidRDefault="00DC17C2" w:rsidP="00DC17C2">
            <w:pPr>
              <w:pStyle w:val="NoSpacing"/>
              <w:rPr>
                <w:lang w:val="nb-NO"/>
              </w:rPr>
            </w:pPr>
            <w:r w:rsidRPr="00D1249D">
              <w:rPr>
                <w:lang w:val="nb-NO"/>
              </w:rPr>
              <w:t>52,789 ms</w:t>
            </w:r>
          </w:p>
        </w:tc>
      </w:tr>
    </w:tbl>
    <w:p w14:paraId="279C75AF" w14:textId="77777777" w:rsidR="00DC17C2" w:rsidRPr="00D1249D" w:rsidRDefault="00DC17C2" w:rsidP="00DC17C2">
      <w:pPr>
        <w:pStyle w:val="NoSpacing"/>
        <w:rPr>
          <w:lang w:val="nb-NO"/>
        </w:rPr>
      </w:pPr>
    </w:p>
    <w:p w14:paraId="385B8AE6" w14:textId="77777777" w:rsidR="00DC17C2" w:rsidRPr="00D1249D" w:rsidRDefault="00DC17C2" w:rsidP="00DC17C2">
      <w:pPr>
        <w:pStyle w:val="NoSpacing"/>
        <w:rPr>
          <w:lang w:val="nb-NO"/>
        </w:rPr>
      </w:pPr>
    </w:p>
    <w:p w14:paraId="2AEC689B" w14:textId="77777777" w:rsidR="00DC17C2" w:rsidRPr="00D1249D" w:rsidRDefault="00DC17C2" w:rsidP="00DC17C2">
      <w:pPr>
        <w:pStyle w:val="NoSpacing"/>
        <w:rPr>
          <w:lang w:val="nb-NO"/>
        </w:rPr>
      </w:pPr>
      <w:r w:rsidRPr="00D1249D">
        <w:rPr>
          <w:lang w:val="nb-NO"/>
        </w:rPr>
        <w:t>Av tabellene ser vi at når elementene er motsatt s</w:t>
      </w:r>
      <w:r w:rsidR="00EE7ADA" w:rsidRPr="00D1249D">
        <w:rPr>
          <w:lang w:val="nb-NO"/>
        </w:rPr>
        <w:t xml:space="preserve">ortert, så er </w:t>
      </w:r>
      <w:proofErr w:type="spellStart"/>
      <w:r w:rsidR="00EE7ADA" w:rsidRPr="00D1249D">
        <w:rPr>
          <w:lang w:val="nb-NO"/>
        </w:rPr>
        <w:t>quicksort</w:t>
      </w:r>
      <w:proofErr w:type="spellEnd"/>
      <w:r w:rsidR="00EE7ADA" w:rsidRPr="00D1249D">
        <w:rPr>
          <w:lang w:val="nb-NO"/>
        </w:rPr>
        <w:t xml:space="preserve"> uhyre i</w:t>
      </w:r>
      <w:r w:rsidRPr="00D1249D">
        <w:rPr>
          <w:lang w:val="nb-NO"/>
        </w:rPr>
        <w:t xml:space="preserve">neffektivt ved innsetting av et stort antall elementer. </w:t>
      </w:r>
      <w:proofErr w:type="spellStart"/>
      <w:r w:rsidRPr="00D1249D">
        <w:rPr>
          <w:lang w:val="nb-NO"/>
        </w:rPr>
        <w:t>RandomizedQuicksort</w:t>
      </w:r>
      <w:proofErr w:type="spellEnd"/>
      <w:r w:rsidRPr="00D1249D">
        <w:rPr>
          <w:lang w:val="nb-NO"/>
        </w:rPr>
        <w:t xml:space="preserve"> bruker lang tid når det er få elementer, men er svært effektivt når det er mange elementer som settes inn. Flettesortering er treg når det settes inn få elementer, men er den aller raskeste av de 4 sammenlignede algoritmene når det settes inn mange omvendt sorterte elementer.</w:t>
      </w:r>
    </w:p>
    <w:p w14:paraId="4A75CDFC" w14:textId="77777777" w:rsidR="00DC17C2" w:rsidRPr="00D1249D" w:rsidRDefault="00DC17C2" w:rsidP="00DC17C2">
      <w:pPr>
        <w:pStyle w:val="NoSpacing"/>
        <w:rPr>
          <w:lang w:val="nb-NO"/>
        </w:rPr>
      </w:pPr>
    </w:p>
    <w:p w14:paraId="246C27EC" w14:textId="77777777" w:rsidR="00DC17C2" w:rsidRPr="00D1249D" w:rsidRDefault="00DC17C2" w:rsidP="00D1249D">
      <w:pPr>
        <w:pStyle w:val="Heading2"/>
      </w:pPr>
      <w:r w:rsidRPr="00D1249D">
        <w:t>Oppgave 2</w:t>
      </w:r>
    </w:p>
    <w:p w14:paraId="6444475F" w14:textId="77777777" w:rsidR="00DC17C2" w:rsidRPr="00D1249D" w:rsidRDefault="00DC17C2" w:rsidP="00DC17C2">
      <w:pPr>
        <w:pStyle w:val="NoSpacing"/>
        <w:rPr>
          <w:lang w:val="nb-NO"/>
        </w:rPr>
      </w:pPr>
    </w:p>
    <w:p w14:paraId="2A730205" w14:textId="77777777" w:rsidR="00DC17C2" w:rsidRPr="00D1249D" w:rsidRDefault="00DC17C2" w:rsidP="00DC17C2">
      <w:pPr>
        <w:pStyle w:val="NoSpacing"/>
        <w:rPr>
          <w:lang w:val="nb-NO"/>
        </w:rPr>
      </w:pPr>
      <w:r w:rsidRPr="00D1249D">
        <w:rPr>
          <w:lang w:val="nb-NO"/>
        </w:rPr>
        <w:t xml:space="preserve">I oppgave 2 skulle vi ta for oss </w:t>
      </w:r>
      <w:proofErr w:type="spellStart"/>
      <w:r w:rsidRPr="00D1249D">
        <w:rPr>
          <w:lang w:val="nb-NO"/>
        </w:rPr>
        <w:t>radixSort</w:t>
      </w:r>
      <w:proofErr w:type="spellEnd"/>
      <w:r w:rsidRPr="00D1249D">
        <w:rPr>
          <w:lang w:val="nb-NO"/>
        </w:rPr>
        <w:t xml:space="preserve">. Implementeringen skulle gjøres slik at r kunne ha ulike verdier og plotte resultatene av disse inn i en tabell og deretter en graf. Inputstørrelsene jeg brukte var de samme som i oppgave 1: 10,100, 1 000, 10 000, 100 000, 500 000 og 1 000 </w:t>
      </w:r>
      <w:proofErr w:type="spellStart"/>
      <w:r w:rsidRPr="00D1249D">
        <w:rPr>
          <w:lang w:val="nb-NO"/>
        </w:rPr>
        <w:t>000</w:t>
      </w:r>
      <w:proofErr w:type="spellEnd"/>
      <w:r w:rsidRPr="00D1249D">
        <w:rPr>
          <w:lang w:val="nb-NO"/>
        </w:rPr>
        <w:t>.</w:t>
      </w:r>
    </w:p>
    <w:p w14:paraId="192152FC" w14:textId="77777777" w:rsidR="00DC17C2" w:rsidRPr="00D1249D" w:rsidRDefault="00DC17C2" w:rsidP="00DC17C2">
      <w:pPr>
        <w:pStyle w:val="NoSpacing"/>
        <w:rPr>
          <w:lang w:val="nb-NO"/>
        </w:rPr>
      </w:pPr>
    </w:p>
    <w:p w14:paraId="2E7946DE" w14:textId="77777777" w:rsidR="00DC17C2" w:rsidRPr="00D1249D" w:rsidRDefault="00DC17C2" w:rsidP="00DC17C2">
      <w:pPr>
        <w:pStyle w:val="NoSpacing"/>
        <w:rPr>
          <w:lang w:val="nb-NO"/>
        </w:rPr>
      </w:pPr>
      <w:r w:rsidRPr="00D1249D">
        <w:rPr>
          <w:lang w:val="nb-NO"/>
        </w:rPr>
        <w:t xml:space="preserve">Tabell 2.1: Tiden </w:t>
      </w:r>
      <w:proofErr w:type="spellStart"/>
      <w:r w:rsidRPr="00D1249D">
        <w:rPr>
          <w:lang w:val="nb-NO"/>
        </w:rPr>
        <w:t>radixSort</w:t>
      </w:r>
      <w:proofErr w:type="spellEnd"/>
      <w:r w:rsidRPr="00D1249D">
        <w:rPr>
          <w:lang w:val="nb-NO"/>
        </w:rPr>
        <w:t xml:space="preserve"> brukte på å sortere ulike inputstørrelser med usorterte heltall:</w:t>
      </w:r>
    </w:p>
    <w:tbl>
      <w:tblPr>
        <w:tblW w:w="5000" w:type="pct"/>
        <w:tblCellSpacing w:w="0" w:type="dxa"/>
        <w:tblCellMar>
          <w:top w:w="100" w:type="dxa"/>
          <w:left w:w="100" w:type="dxa"/>
          <w:bottom w:w="100" w:type="dxa"/>
          <w:right w:w="100" w:type="dxa"/>
        </w:tblCellMar>
        <w:tblLook w:val="04A0" w:firstRow="1" w:lastRow="0" w:firstColumn="1" w:lastColumn="0" w:noHBand="0" w:noVBand="1"/>
      </w:tblPr>
      <w:tblGrid>
        <w:gridCol w:w="2815"/>
        <w:gridCol w:w="2815"/>
        <w:gridCol w:w="2816"/>
      </w:tblGrid>
      <w:tr w:rsidR="00DC17C2" w:rsidRPr="00D1249D" w14:paraId="13404D40" w14:textId="77777777" w:rsidTr="00DC17C2">
        <w:trPr>
          <w:tblCellSpacing w:w="0" w:type="dxa"/>
        </w:trPr>
        <w:tc>
          <w:tcPr>
            <w:tcW w:w="1650" w:type="pct"/>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14:paraId="7DA08AC3" w14:textId="77777777" w:rsidR="00DC17C2" w:rsidRPr="00D1249D" w:rsidRDefault="00DC17C2" w:rsidP="00DC17C2">
            <w:pPr>
              <w:pStyle w:val="NoSpacing"/>
              <w:rPr>
                <w:lang w:val="nb-NO"/>
              </w:rPr>
            </w:pPr>
            <w:r w:rsidRPr="00D1249D">
              <w:rPr>
                <w:lang w:val="nb-NO"/>
              </w:rPr>
              <w:t>Inputstørrelse</w:t>
            </w:r>
          </w:p>
        </w:tc>
        <w:tc>
          <w:tcPr>
            <w:tcW w:w="1650" w:type="pct"/>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14:paraId="12F84C0F" w14:textId="77777777" w:rsidR="00DC17C2" w:rsidRPr="00D1249D" w:rsidRDefault="00DC17C2" w:rsidP="00DC17C2">
            <w:pPr>
              <w:pStyle w:val="NoSpacing"/>
              <w:rPr>
                <w:lang w:val="nb-NO"/>
              </w:rPr>
            </w:pPr>
            <w:r w:rsidRPr="00D1249D">
              <w:rPr>
                <w:lang w:val="nb-NO"/>
              </w:rPr>
              <w:t>R</w:t>
            </w:r>
          </w:p>
        </w:tc>
        <w:tc>
          <w:tcPr>
            <w:tcW w:w="165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5A8AA09B" w14:textId="77777777" w:rsidR="00DC17C2" w:rsidRPr="00D1249D" w:rsidRDefault="00DC17C2" w:rsidP="00DC17C2">
            <w:pPr>
              <w:pStyle w:val="NoSpacing"/>
              <w:rPr>
                <w:lang w:val="nb-NO"/>
              </w:rPr>
            </w:pPr>
            <w:r w:rsidRPr="00D1249D">
              <w:rPr>
                <w:lang w:val="nb-NO"/>
              </w:rPr>
              <w:t>Tid</w:t>
            </w:r>
          </w:p>
        </w:tc>
      </w:tr>
      <w:tr w:rsidR="00DC17C2" w:rsidRPr="00D1249D" w14:paraId="00F40057" w14:textId="77777777" w:rsidTr="00DC17C2">
        <w:trPr>
          <w:tblCellSpacing w:w="0" w:type="dxa"/>
        </w:trPr>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24E05C28" w14:textId="77777777" w:rsidR="00DC17C2" w:rsidRPr="00D1249D" w:rsidRDefault="00DC17C2" w:rsidP="00DC17C2">
            <w:pPr>
              <w:pStyle w:val="NoSpacing"/>
              <w:rPr>
                <w:lang w:val="nb-NO"/>
              </w:rPr>
            </w:pPr>
            <w:r w:rsidRPr="00D1249D">
              <w:rPr>
                <w:lang w:val="nb-NO"/>
              </w:rPr>
              <w:t>10</w:t>
            </w:r>
          </w:p>
        </w:tc>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4E3C1E15" w14:textId="77777777" w:rsidR="00DC17C2" w:rsidRPr="00D1249D" w:rsidRDefault="00DC17C2" w:rsidP="00DC17C2">
            <w:pPr>
              <w:pStyle w:val="NoSpacing"/>
              <w:rPr>
                <w:lang w:val="nb-NO"/>
              </w:rPr>
            </w:pPr>
            <w:r w:rsidRPr="00D1249D">
              <w:rPr>
                <w:lang w:val="nb-NO"/>
              </w:rPr>
              <w:t xml:space="preserve">8 </w:t>
            </w:r>
          </w:p>
        </w:tc>
        <w:tc>
          <w:tcPr>
            <w:tcW w:w="165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735AE444" w14:textId="77777777" w:rsidR="00DC17C2" w:rsidRPr="00D1249D" w:rsidRDefault="00DC17C2" w:rsidP="00DC17C2">
            <w:pPr>
              <w:pStyle w:val="NoSpacing"/>
              <w:rPr>
                <w:lang w:val="nb-NO"/>
              </w:rPr>
            </w:pPr>
            <w:r w:rsidRPr="00D1249D">
              <w:rPr>
                <w:lang w:val="nb-NO"/>
              </w:rPr>
              <w:t xml:space="preserve">41,681 </w:t>
            </w:r>
            <w:r w:rsidRPr="00D1249D">
              <w:rPr>
                <w:color w:val="1C1C1C"/>
                <w:lang w:val="nb-NO"/>
              </w:rPr>
              <w:t>µs</w:t>
            </w:r>
          </w:p>
        </w:tc>
      </w:tr>
      <w:tr w:rsidR="00DC17C2" w:rsidRPr="00D1249D" w14:paraId="5A843326" w14:textId="77777777" w:rsidTr="00DC17C2">
        <w:trPr>
          <w:tblCellSpacing w:w="0" w:type="dxa"/>
        </w:trPr>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2BBDB1FE" w14:textId="77777777" w:rsidR="00DC17C2" w:rsidRPr="00D1249D" w:rsidRDefault="00DC17C2" w:rsidP="00DC17C2">
            <w:pPr>
              <w:pStyle w:val="NoSpacing"/>
              <w:rPr>
                <w:lang w:val="nb-NO"/>
              </w:rPr>
            </w:pPr>
            <w:r w:rsidRPr="00D1249D">
              <w:rPr>
                <w:lang w:val="nb-NO"/>
              </w:rPr>
              <w:t>10</w:t>
            </w:r>
          </w:p>
        </w:tc>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27623372" w14:textId="77777777" w:rsidR="00DC17C2" w:rsidRPr="00D1249D" w:rsidRDefault="00DC17C2" w:rsidP="00DC17C2">
            <w:pPr>
              <w:pStyle w:val="NoSpacing"/>
              <w:rPr>
                <w:lang w:val="nb-NO"/>
              </w:rPr>
            </w:pPr>
            <w:r w:rsidRPr="00D1249D">
              <w:rPr>
                <w:lang w:val="nb-NO"/>
              </w:rPr>
              <w:t>16</w:t>
            </w:r>
          </w:p>
        </w:tc>
        <w:tc>
          <w:tcPr>
            <w:tcW w:w="165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7D5C570B" w14:textId="77777777" w:rsidR="00DC17C2" w:rsidRPr="00D1249D" w:rsidRDefault="00DC17C2" w:rsidP="00DC17C2">
            <w:pPr>
              <w:pStyle w:val="NoSpacing"/>
              <w:rPr>
                <w:lang w:val="nb-NO"/>
              </w:rPr>
            </w:pPr>
            <w:r w:rsidRPr="00D1249D">
              <w:rPr>
                <w:lang w:val="nb-NO"/>
              </w:rPr>
              <w:t>2,566 ms</w:t>
            </w:r>
          </w:p>
        </w:tc>
      </w:tr>
      <w:tr w:rsidR="00DC17C2" w:rsidRPr="00D1249D" w14:paraId="2B4178D3" w14:textId="77777777" w:rsidTr="00DC17C2">
        <w:trPr>
          <w:tblCellSpacing w:w="0" w:type="dxa"/>
        </w:trPr>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1CAB1B7D" w14:textId="77777777" w:rsidR="00DC17C2" w:rsidRPr="00D1249D" w:rsidRDefault="00DC17C2" w:rsidP="00DC17C2">
            <w:pPr>
              <w:pStyle w:val="NoSpacing"/>
              <w:rPr>
                <w:lang w:val="nb-NO"/>
              </w:rPr>
            </w:pPr>
            <w:r w:rsidRPr="00D1249D">
              <w:rPr>
                <w:lang w:val="nb-NO"/>
              </w:rPr>
              <w:t>10</w:t>
            </w:r>
          </w:p>
        </w:tc>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6B4A465A" w14:textId="77777777" w:rsidR="00DC17C2" w:rsidRPr="00D1249D" w:rsidRDefault="00DC17C2" w:rsidP="00DC17C2">
            <w:pPr>
              <w:pStyle w:val="NoSpacing"/>
              <w:rPr>
                <w:lang w:val="nb-NO"/>
              </w:rPr>
            </w:pPr>
            <w:r w:rsidRPr="00D1249D">
              <w:rPr>
                <w:lang w:val="nb-NO"/>
              </w:rPr>
              <w:t>32</w:t>
            </w:r>
          </w:p>
        </w:tc>
        <w:tc>
          <w:tcPr>
            <w:tcW w:w="165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1B79D087" w14:textId="77777777" w:rsidR="00DC17C2" w:rsidRPr="00D1249D" w:rsidRDefault="00DC17C2" w:rsidP="00DC17C2">
            <w:pPr>
              <w:pStyle w:val="NoSpacing"/>
              <w:rPr>
                <w:lang w:val="nb-NO"/>
              </w:rPr>
            </w:pPr>
            <w:r w:rsidRPr="00D1249D">
              <w:rPr>
                <w:lang w:val="nb-NO"/>
              </w:rPr>
              <w:t xml:space="preserve">14,274 </w:t>
            </w:r>
            <w:r w:rsidRPr="00D1249D">
              <w:rPr>
                <w:color w:val="1C1C1C"/>
                <w:lang w:val="nb-NO"/>
              </w:rPr>
              <w:t>µ</w:t>
            </w:r>
            <w:r w:rsidRPr="00D1249D">
              <w:rPr>
                <w:lang w:val="nb-NO"/>
              </w:rPr>
              <w:t>s</w:t>
            </w:r>
          </w:p>
        </w:tc>
      </w:tr>
      <w:tr w:rsidR="00DC17C2" w:rsidRPr="00D1249D" w14:paraId="5E142C3C" w14:textId="77777777" w:rsidTr="00DC17C2">
        <w:trPr>
          <w:tblCellSpacing w:w="0" w:type="dxa"/>
        </w:trPr>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09C50FD2" w14:textId="77777777" w:rsidR="00DC17C2" w:rsidRPr="00D1249D" w:rsidRDefault="00DC17C2" w:rsidP="00DC17C2">
            <w:pPr>
              <w:pStyle w:val="NoSpacing"/>
              <w:rPr>
                <w:lang w:val="nb-NO"/>
              </w:rPr>
            </w:pPr>
            <w:r w:rsidRPr="00D1249D">
              <w:rPr>
                <w:lang w:val="nb-NO"/>
              </w:rPr>
              <w:t>100</w:t>
            </w:r>
          </w:p>
        </w:tc>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67FCA49B" w14:textId="77777777" w:rsidR="00DC17C2" w:rsidRPr="00D1249D" w:rsidRDefault="00DC17C2" w:rsidP="00DC17C2">
            <w:pPr>
              <w:pStyle w:val="NoSpacing"/>
              <w:rPr>
                <w:lang w:val="nb-NO"/>
              </w:rPr>
            </w:pPr>
            <w:r w:rsidRPr="00D1249D">
              <w:rPr>
                <w:lang w:val="nb-NO"/>
              </w:rPr>
              <w:t>8</w:t>
            </w:r>
          </w:p>
        </w:tc>
        <w:tc>
          <w:tcPr>
            <w:tcW w:w="165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6243CCC9" w14:textId="77777777" w:rsidR="00DC17C2" w:rsidRPr="00D1249D" w:rsidRDefault="00DC17C2" w:rsidP="00DC17C2">
            <w:pPr>
              <w:pStyle w:val="NoSpacing"/>
              <w:rPr>
                <w:lang w:val="nb-NO"/>
              </w:rPr>
            </w:pPr>
            <w:r w:rsidRPr="00D1249D">
              <w:rPr>
                <w:lang w:val="nb-NO"/>
              </w:rPr>
              <w:t xml:space="preserve">98, 918 </w:t>
            </w:r>
            <w:r w:rsidRPr="00D1249D">
              <w:rPr>
                <w:color w:val="1C1C1C"/>
                <w:lang w:val="nb-NO"/>
              </w:rPr>
              <w:t>µs</w:t>
            </w:r>
          </w:p>
        </w:tc>
      </w:tr>
      <w:tr w:rsidR="00DC17C2" w:rsidRPr="00D1249D" w14:paraId="40A4556F" w14:textId="77777777" w:rsidTr="00DC17C2">
        <w:trPr>
          <w:tblCellSpacing w:w="0" w:type="dxa"/>
        </w:trPr>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46F1E53E" w14:textId="77777777" w:rsidR="00DC17C2" w:rsidRPr="00D1249D" w:rsidRDefault="00DC17C2" w:rsidP="00DC17C2">
            <w:pPr>
              <w:pStyle w:val="NoSpacing"/>
              <w:rPr>
                <w:lang w:val="nb-NO"/>
              </w:rPr>
            </w:pPr>
            <w:r w:rsidRPr="00D1249D">
              <w:rPr>
                <w:lang w:val="nb-NO"/>
              </w:rPr>
              <w:t>100</w:t>
            </w:r>
          </w:p>
        </w:tc>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48F4677F" w14:textId="77777777" w:rsidR="00DC17C2" w:rsidRPr="00D1249D" w:rsidRDefault="00DC17C2" w:rsidP="00DC17C2">
            <w:pPr>
              <w:pStyle w:val="NoSpacing"/>
              <w:rPr>
                <w:lang w:val="nb-NO"/>
              </w:rPr>
            </w:pPr>
            <w:r w:rsidRPr="00D1249D">
              <w:rPr>
                <w:lang w:val="nb-NO"/>
              </w:rPr>
              <w:t>16</w:t>
            </w:r>
          </w:p>
        </w:tc>
        <w:tc>
          <w:tcPr>
            <w:tcW w:w="165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63334329" w14:textId="77777777" w:rsidR="00DC17C2" w:rsidRPr="00D1249D" w:rsidRDefault="00DC17C2" w:rsidP="00DC17C2">
            <w:pPr>
              <w:pStyle w:val="NoSpacing"/>
              <w:rPr>
                <w:lang w:val="nb-NO"/>
              </w:rPr>
            </w:pPr>
            <w:r w:rsidRPr="00D1249D">
              <w:rPr>
                <w:lang w:val="nb-NO"/>
              </w:rPr>
              <w:t>2,593 ms</w:t>
            </w:r>
          </w:p>
        </w:tc>
      </w:tr>
      <w:tr w:rsidR="00DC17C2" w:rsidRPr="00D1249D" w14:paraId="1FFC7394" w14:textId="77777777" w:rsidTr="00DC17C2">
        <w:trPr>
          <w:tblCellSpacing w:w="0" w:type="dxa"/>
        </w:trPr>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7B6E5F7C" w14:textId="77777777" w:rsidR="00DC17C2" w:rsidRPr="00D1249D" w:rsidRDefault="00DC17C2" w:rsidP="00DC17C2">
            <w:pPr>
              <w:pStyle w:val="NoSpacing"/>
              <w:rPr>
                <w:lang w:val="nb-NO"/>
              </w:rPr>
            </w:pPr>
            <w:r w:rsidRPr="00D1249D">
              <w:rPr>
                <w:lang w:val="nb-NO"/>
              </w:rPr>
              <w:t>100</w:t>
            </w:r>
          </w:p>
        </w:tc>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545201EB" w14:textId="77777777" w:rsidR="00DC17C2" w:rsidRPr="00D1249D" w:rsidRDefault="00DC17C2" w:rsidP="00DC17C2">
            <w:pPr>
              <w:pStyle w:val="NoSpacing"/>
              <w:rPr>
                <w:lang w:val="nb-NO"/>
              </w:rPr>
            </w:pPr>
            <w:r w:rsidRPr="00D1249D">
              <w:rPr>
                <w:lang w:val="nb-NO"/>
              </w:rPr>
              <w:t>32</w:t>
            </w:r>
          </w:p>
        </w:tc>
        <w:tc>
          <w:tcPr>
            <w:tcW w:w="165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69208789" w14:textId="77777777" w:rsidR="00DC17C2" w:rsidRPr="00D1249D" w:rsidRDefault="00DC17C2" w:rsidP="00DC17C2">
            <w:pPr>
              <w:pStyle w:val="NoSpacing"/>
              <w:rPr>
                <w:lang w:val="nb-NO"/>
              </w:rPr>
            </w:pPr>
            <w:r w:rsidRPr="00D1249D">
              <w:rPr>
                <w:lang w:val="nb-NO"/>
              </w:rPr>
              <w:t xml:space="preserve">13,327 </w:t>
            </w:r>
            <w:r w:rsidRPr="00D1249D">
              <w:rPr>
                <w:color w:val="1C1C1C"/>
                <w:lang w:val="nb-NO"/>
              </w:rPr>
              <w:t>µs</w:t>
            </w:r>
          </w:p>
        </w:tc>
      </w:tr>
      <w:tr w:rsidR="00DC17C2" w:rsidRPr="00D1249D" w14:paraId="3709FB73" w14:textId="77777777" w:rsidTr="00DC17C2">
        <w:trPr>
          <w:tblCellSpacing w:w="0" w:type="dxa"/>
        </w:trPr>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32EAC251" w14:textId="77777777" w:rsidR="00DC17C2" w:rsidRPr="00D1249D" w:rsidRDefault="00DC17C2" w:rsidP="00DC17C2">
            <w:pPr>
              <w:pStyle w:val="NoSpacing"/>
              <w:rPr>
                <w:lang w:val="nb-NO"/>
              </w:rPr>
            </w:pPr>
            <w:r w:rsidRPr="00D1249D">
              <w:rPr>
                <w:lang w:val="nb-NO"/>
              </w:rPr>
              <w:t>1 000</w:t>
            </w:r>
          </w:p>
        </w:tc>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732D7730" w14:textId="77777777" w:rsidR="00DC17C2" w:rsidRPr="00D1249D" w:rsidRDefault="00DC17C2" w:rsidP="00DC17C2">
            <w:pPr>
              <w:pStyle w:val="NoSpacing"/>
              <w:rPr>
                <w:lang w:val="nb-NO"/>
              </w:rPr>
            </w:pPr>
            <w:r w:rsidRPr="00D1249D">
              <w:rPr>
                <w:lang w:val="nb-NO"/>
              </w:rPr>
              <w:t>8</w:t>
            </w:r>
          </w:p>
        </w:tc>
        <w:tc>
          <w:tcPr>
            <w:tcW w:w="165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32425D81" w14:textId="77777777" w:rsidR="00DC17C2" w:rsidRPr="00D1249D" w:rsidRDefault="00DC17C2" w:rsidP="00DC17C2">
            <w:pPr>
              <w:pStyle w:val="NoSpacing"/>
              <w:rPr>
                <w:lang w:val="nb-NO"/>
              </w:rPr>
            </w:pPr>
            <w:r w:rsidRPr="00D1249D">
              <w:rPr>
                <w:lang w:val="nb-NO"/>
              </w:rPr>
              <w:t xml:space="preserve">354,367 </w:t>
            </w:r>
            <w:r w:rsidRPr="00D1249D">
              <w:rPr>
                <w:color w:val="1C1C1C"/>
                <w:lang w:val="nb-NO"/>
              </w:rPr>
              <w:t>µs</w:t>
            </w:r>
          </w:p>
        </w:tc>
      </w:tr>
      <w:tr w:rsidR="00DC17C2" w:rsidRPr="00D1249D" w14:paraId="0E0B051B" w14:textId="77777777" w:rsidTr="00DC17C2">
        <w:trPr>
          <w:tblCellSpacing w:w="0" w:type="dxa"/>
        </w:trPr>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15003F99" w14:textId="77777777" w:rsidR="00DC17C2" w:rsidRPr="00D1249D" w:rsidRDefault="00DC17C2" w:rsidP="00DC17C2">
            <w:pPr>
              <w:pStyle w:val="NoSpacing"/>
              <w:rPr>
                <w:lang w:val="nb-NO"/>
              </w:rPr>
            </w:pPr>
            <w:r w:rsidRPr="00D1249D">
              <w:rPr>
                <w:lang w:val="nb-NO"/>
              </w:rPr>
              <w:t>1 000</w:t>
            </w:r>
          </w:p>
        </w:tc>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45949BBC" w14:textId="77777777" w:rsidR="00DC17C2" w:rsidRPr="00D1249D" w:rsidRDefault="00DC17C2" w:rsidP="00DC17C2">
            <w:pPr>
              <w:pStyle w:val="NoSpacing"/>
              <w:rPr>
                <w:lang w:val="nb-NO"/>
              </w:rPr>
            </w:pPr>
            <w:r w:rsidRPr="00D1249D">
              <w:rPr>
                <w:lang w:val="nb-NO"/>
              </w:rPr>
              <w:t>16</w:t>
            </w:r>
          </w:p>
        </w:tc>
        <w:tc>
          <w:tcPr>
            <w:tcW w:w="165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71275C40" w14:textId="77777777" w:rsidR="00DC17C2" w:rsidRPr="00D1249D" w:rsidRDefault="00DC17C2" w:rsidP="00DC17C2">
            <w:pPr>
              <w:pStyle w:val="NoSpacing"/>
              <w:rPr>
                <w:lang w:val="nb-NO"/>
              </w:rPr>
            </w:pPr>
            <w:r w:rsidRPr="00D1249D">
              <w:rPr>
                <w:lang w:val="nb-NO"/>
              </w:rPr>
              <w:t>4,214 ms</w:t>
            </w:r>
          </w:p>
        </w:tc>
      </w:tr>
      <w:tr w:rsidR="00DC17C2" w:rsidRPr="00D1249D" w14:paraId="23549EB9" w14:textId="77777777" w:rsidTr="00DC17C2">
        <w:trPr>
          <w:tblCellSpacing w:w="0" w:type="dxa"/>
        </w:trPr>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57CF880B" w14:textId="77777777" w:rsidR="00DC17C2" w:rsidRPr="00D1249D" w:rsidRDefault="00DC17C2" w:rsidP="00DC17C2">
            <w:pPr>
              <w:pStyle w:val="NoSpacing"/>
              <w:rPr>
                <w:lang w:val="nb-NO"/>
              </w:rPr>
            </w:pPr>
            <w:r w:rsidRPr="00D1249D">
              <w:rPr>
                <w:lang w:val="nb-NO"/>
              </w:rPr>
              <w:t>1 000</w:t>
            </w:r>
          </w:p>
        </w:tc>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4FA2E06B" w14:textId="77777777" w:rsidR="00DC17C2" w:rsidRPr="00D1249D" w:rsidRDefault="00DC17C2" w:rsidP="00DC17C2">
            <w:pPr>
              <w:pStyle w:val="NoSpacing"/>
              <w:rPr>
                <w:lang w:val="nb-NO"/>
              </w:rPr>
            </w:pPr>
            <w:r w:rsidRPr="00D1249D">
              <w:rPr>
                <w:lang w:val="nb-NO"/>
              </w:rPr>
              <w:t>32</w:t>
            </w:r>
          </w:p>
        </w:tc>
        <w:tc>
          <w:tcPr>
            <w:tcW w:w="165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36883B38" w14:textId="77777777" w:rsidR="00DC17C2" w:rsidRPr="00D1249D" w:rsidRDefault="00DC17C2" w:rsidP="00DC17C2">
            <w:pPr>
              <w:pStyle w:val="NoSpacing"/>
              <w:rPr>
                <w:lang w:val="nb-NO"/>
              </w:rPr>
            </w:pPr>
            <w:r w:rsidRPr="00D1249D">
              <w:rPr>
                <w:lang w:val="nb-NO"/>
              </w:rPr>
              <w:t xml:space="preserve">86,704 </w:t>
            </w:r>
            <w:r w:rsidRPr="00D1249D">
              <w:rPr>
                <w:color w:val="1C1C1C"/>
                <w:lang w:val="nb-NO"/>
              </w:rPr>
              <w:t>µs</w:t>
            </w:r>
          </w:p>
        </w:tc>
      </w:tr>
      <w:tr w:rsidR="00DC17C2" w:rsidRPr="00D1249D" w14:paraId="30414B39" w14:textId="77777777" w:rsidTr="00DC17C2">
        <w:trPr>
          <w:tblCellSpacing w:w="0" w:type="dxa"/>
        </w:trPr>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0059EEB6" w14:textId="77777777" w:rsidR="00DC17C2" w:rsidRPr="00D1249D" w:rsidRDefault="00DC17C2" w:rsidP="00DC17C2">
            <w:pPr>
              <w:pStyle w:val="NoSpacing"/>
              <w:rPr>
                <w:lang w:val="nb-NO"/>
              </w:rPr>
            </w:pPr>
            <w:r w:rsidRPr="00D1249D">
              <w:rPr>
                <w:lang w:val="nb-NO"/>
              </w:rPr>
              <w:t>10 000</w:t>
            </w:r>
          </w:p>
        </w:tc>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152764E2" w14:textId="77777777" w:rsidR="00DC17C2" w:rsidRPr="00D1249D" w:rsidRDefault="00DC17C2" w:rsidP="00DC17C2">
            <w:pPr>
              <w:pStyle w:val="NoSpacing"/>
              <w:rPr>
                <w:lang w:val="nb-NO"/>
              </w:rPr>
            </w:pPr>
            <w:r w:rsidRPr="00D1249D">
              <w:rPr>
                <w:lang w:val="nb-NO"/>
              </w:rPr>
              <w:t>8</w:t>
            </w:r>
          </w:p>
        </w:tc>
        <w:tc>
          <w:tcPr>
            <w:tcW w:w="165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2355DE63" w14:textId="77777777" w:rsidR="00DC17C2" w:rsidRPr="00D1249D" w:rsidRDefault="00DC17C2" w:rsidP="00DC17C2">
            <w:pPr>
              <w:pStyle w:val="NoSpacing"/>
              <w:rPr>
                <w:lang w:val="nb-NO"/>
              </w:rPr>
            </w:pPr>
            <w:r w:rsidRPr="00D1249D">
              <w:rPr>
                <w:lang w:val="nb-NO"/>
              </w:rPr>
              <w:t>3,153 ms</w:t>
            </w:r>
          </w:p>
        </w:tc>
      </w:tr>
      <w:tr w:rsidR="00DC17C2" w:rsidRPr="00D1249D" w14:paraId="78857D0E" w14:textId="77777777" w:rsidTr="00DC17C2">
        <w:trPr>
          <w:tblCellSpacing w:w="0" w:type="dxa"/>
        </w:trPr>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53EF8BCB" w14:textId="77777777" w:rsidR="00DC17C2" w:rsidRPr="00D1249D" w:rsidRDefault="00DC17C2" w:rsidP="00DC17C2">
            <w:pPr>
              <w:pStyle w:val="NoSpacing"/>
              <w:rPr>
                <w:lang w:val="nb-NO"/>
              </w:rPr>
            </w:pPr>
            <w:r w:rsidRPr="00D1249D">
              <w:rPr>
                <w:lang w:val="nb-NO"/>
              </w:rPr>
              <w:t>10 000</w:t>
            </w:r>
          </w:p>
        </w:tc>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27D2CC88" w14:textId="77777777" w:rsidR="00DC17C2" w:rsidRPr="00D1249D" w:rsidRDefault="00DC17C2" w:rsidP="00DC17C2">
            <w:pPr>
              <w:pStyle w:val="NoSpacing"/>
              <w:rPr>
                <w:lang w:val="nb-NO"/>
              </w:rPr>
            </w:pPr>
            <w:r w:rsidRPr="00D1249D">
              <w:rPr>
                <w:lang w:val="nb-NO"/>
              </w:rPr>
              <w:t>16</w:t>
            </w:r>
          </w:p>
        </w:tc>
        <w:tc>
          <w:tcPr>
            <w:tcW w:w="165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5CFD3274" w14:textId="77777777" w:rsidR="00DC17C2" w:rsidRPr="00D1249D" w:rsidRDefault="00DC17C2" w:rsidP="00DC17C2">
            <w:pPr>
              <w:pStyle w:val="NoSpacing"/>
              <w:rPr>
                <w:lang w:val="nb-NO"/>
              </w:rPr>
            </w:pPr>
            <w:r w:rsidRPr="00D1249D">
              <w:rPr>
                <w:lang w:val="nb-NO"/>
              </w:rPr>
              <w:t>3,383 ms</w:t>
            </w:r>
          </w:p>
        </w:tc>
      </w:tr>
      <w:tr w:rsidR="00DC17C2" w:rsidRPr="00D1249D" w14:paraId="4C347F0C" w14:textId="77777777" w:rsidTr="00DC17C2">
        <w:trPr>
          <w:tblCellSpacing w:w="0" w:type="dxa"/>
        </w:trPr>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341B7806" w14:textId="77777777" w:rsidR="00DC17C2" w:rsidRPr="00D1249D" w:rsidRDefault="00DC17C2" w:rsidP="00DC17C2">
            <w:pPr>
              <w:pStyle w:val="NoSpacing"/>
              <w:rPr>
                <w:lang w:val="nb-NO"/>
              </w:rPr>
            </w:pPr>
            <w:r w:rsidRPr="00D1249D">
              <w:rPr>
                <w:lang w:val="nb-NO"/>
              </w:rPr>
              <w:t>10 000</w:t>
            </w:r>
          </w:p>
        </w:tc>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1CD8546D" w14:textId="77777777" w:rsidR="00DC17C2" w:rsidRPr="00D1249D" w:rsidRDefault="00DC17C2" w:rsidP="00DC17C2">
            <w:pPr>
              <w:pStyle w:val="NoSpacing"/>
              <w:rPr>
                <w:lang w:val="nb-NO"/>
              </w:rPr>
            </w:pPr>
            <w:r w:rsidRPr="00D1249D">
              <w:rPr>
                <w:lang w:val="nb-NO"/>
              </w:rPr>
              <w:t>32</w:t>
            </w:r>
          </w:p>
        </w:tc>
        <w:tc>
          <w:tcPr>
            <w:tcW w:w="165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322B8FB2" w14:textId="77777777" w:rsidR="00DC17C2" w:rsidRPr="00D1249D" w:rsidRDefault="00DC17C2" w:rsidP="00DC17C2">
            <w:pPr>
              <w:pStyle w:val="NoSpacing"/>
              <w:rPr>
                <w:lang w:val="nb-NO"/>
              </w:rPr>
            </w:pPr>
            <w:r w:rsidRPr="00D1249D">
              <w:rPr>
                <w:lang w:val="nb-NO"/>
              </w:rPr>
              <w:t xml:space="preserve">822,257 </w:t>
            </w:r>
            <w:r w:rsidRPr="00D1249D">
              <w:rPr>
                <w:color w:val="1C1C1C"/>
                <w:lang w:val="nb-NO"/>
              </w:rPr>
              <w:t>µs</w:t>
            </w:r>
          </w:p>
        </w:tc>
      </w:tr>
      <w:tr w:rsidR="00DC17C2" w:rsidRPr="00D1249D" w14:paraId="672CA978" w14:textId="77777777" w:rsidTr="00DC17C2">
        <w:trPr>
          <w:tblCellSpacing w:w="0" w:type="dxa"/>
        </w:trPr>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14FAD1F8" w14:textId="77777777" w:rsidR="00DC17C2" w:rsidRPr="00D1249D" w:rsidRDefault="00DC17C2" w:rsidP="00DC17C2">
            <w:pPr>
              <w:pStyle w:val="NoSpacing"/>
              <w:rPr>
                <w:lang w:val="nb-NO"/>
              </w:rPr>
            </w:pPr>
            <w:r w:rsidRPr="00D1249D">
              <w:rPr>
                <w:lang w:val="nb-NO"/>
              </w:rPr>
              <w:t>100 000</w:t>
            </w:r>
          </w:p>
        </w:tc>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7555CC11" w14:textId="77777777" w:rsidR="00DC17C2" w:rsidRPr="00D1249D" w:rsidRDefault="00DC17C2" w:rsidP="00DC17C2">
            <w:pPr>
              <w:pStyle w:val="NoSpacing"/>
              <w:rPr>
                <w:lang w:val="nb-NO"/>
              </w:rPr>
            </w:pPr>
            <w:r w:rsidRPr="00D1249D">
              <w:rPr>
                <w:lang w:val="nb-NO"/>
              </w:rPr>
              <w:t>8</w:t>
            </w:r>
          </w:p>
        </w:tc>
        <w:tc>
          <w:tcPr>
            <w:tcW w:w="165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7782921F" w14:textId="77777777" w:rsidR="00DC17C2" w:rsidRPr="00D1249D" w:rsidRDefault="00DC17C2" w:rsidP="00DC17C2">
            <w:pPr>
              <w:pStyle w:val="NoSpacing"/>
              <w:rPr>
                <w:lang w:val="nb-NO"/>
              </w:rPr>
            </w:pPr>
            <w:r w:rsidRPr="00D1249D">
              <w:rPr>
                <w:lang w:val="nb-NO"/>
              </w:rPr>
              <w:t>7,697 ms</w:t>
            </w:r>
          </w:p>
        </w:tc>
      </w:tr>
      <w:tr w:rsidR="00DC17C2" w:rsidRPr="00D1249D" w14:paraId="19D17289" w14:textId="77777777" w:rsidTr="00DC17C2">
        <w:trPr>
          <w:tblCellSpacing w:w="0" w:type="dxa"/>
        </w:trPr>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376E4453" w14:textId="77777777" w:rsidR="00DC17C2" w:rsidRPr="00D1249D" w:rsidRDefault="00DC17C2" w:rsidP="00DC17C2">
            <w:pPr>
              <w:pStyle w:val="NoSpacing"/>
              <w:rPr>
                <w:lang w:val="nb-NO"/>
              </w:rPr>
            </w:pPr>
            <w:r w:rsidRPr="00D1249D">
              <w:rPr>
                <w:lang w:val="nb-NO"/>
              </w:rPr>
              <w:t>100 000</w:t>
            </w:r>
          </w:p>
        </w:tc>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1C3FF4ED" w14:textId="77777777" w:rsidR="00DC17C2" w:rsidRPr="00D1249D" w:rsidRDefault="00DC17C2" w:rsidP="00DC17C2">
            <w:pPr>
              <w:pStyle w:val="NoSpacing"/>
              <w:rPr>
                <w:lang w:val="nb-NO"/>
              </w:rPr>
            </w:pPr>
            <w:r w:rsidRPr="00D1249D">
              <w:rPr>
                <w:lang w:val="nb-NO"/>
              </w:rPr>
              <w:t>16</w:t>
            </w:r>
          </w:p>
        </w:tc>
        <w:tc>
          <w:tcPr>
            <w:tcW w:w="165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5CA3FA98" w14:textId="77777777" w:rsidR="00DC17C2" w:rsidRPr="00D1249D" w:rsidRDefault="00DC17C2" w:rsidP="00DC17C2">
            <w:pPr>
              <w:pStyle w:val="NoSpacing"/>
              <w:rPr>
                <w:lang w:val="nb-NO"/>
              </w:rPr>
            </w:pPr>
            <w:r w:rsidRPr="00D1249D">
              <w:rPr>
                <w:lang w:val="nb-NO"/>
              </w:rPr>
              <w:t>6,437 ms</w:t>
            </w:r>
          </w:p>
        </w:tc>
      </w:tr>
      <w:tr w:rsidR="00DC17C2" w:rsidRPr="00D1249D" w14:paraId="1C98635D" w14:textId="77777777" w:rsidTr="00DC17C2">
        <w:trPr>
          <w:tblCellSpacing w:w="0" w:type="dxa"/>
        </w:trPr>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1323B908" w14:textId="77777777" w:rsidR="00DC17C2" w:rsidRPr="00D1249D" w:rsidRDefault="00DC17C2" w:rsidP="00DC17C2">
            <w:pPr>
              <w:pStyle w:val="NoSpacing"/>
              <w:rPr>
                <w:lang w:val="nb-NO"/>
              </w:rPr>
            </w:pPr>
            <w:r w:rsidRPr="00D1249D">
              <w:rPr>
                <w:lang w:val="nb-NO"/>
              </w:rPr>
              <w:t>100 000</w:t>
            </w:r>
          </w:p>
        </w:tc>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5C7E116A" w14:textId="77777777" w:rsidR="00DC17C2" w:rsidRPr="00D1249D" w:rsidRDefault="00DC17C2" w:rsidP="00DC17C2">
            <w:pPr>
              <w:pStyle w:val="NoSpacing"/>
              <w:rPr>
                <w:lang w:val="nb-NO"/>
              </w:rPr>
            </w:pPr>
            <w:r w:rsidRPr="00D1249D">
              <w:rPr>
                <w:lang w:val="nb-NO"/>
              </w:rPr>
              <w:t>32</w:t>
            </w:r>
          </w:p>
        </w:tc>
        <w:tc>
          <w:tcPr>
            <w:tcW w:w="165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6B6F0179" w14:textId="77777777" w:rsidR="00DC17C2" w:rsidRPr="00D1249D" w:rsidRDefault="00DC17C2" w:rsidP="00DC17C2">
            <w:pPr>
              <w:pStyle w:val="NoSpacing"/>
              <w:rPr>
                <w:lang w:val="nb-NO"/>
              </w:rPr>
            </w:pPr>
            <w:r w:rsidRPr="00D1249D">
              <w:rPr>
                <w:lang w:val="nb-NO"/>
              </w:rPr>
              <w:t>3,770 ms</w:t>
            </w:r>
          </w:p>
        </w:tc>
      </w:tr>
      <w:tr w:rsidR="00DC17C2" w:rsidRPr="00D1249D" w14:paraId="0A858047" w14:textId="77777777" w:rsidTr="00DC17C2">
        <w:trPr>
          <w:tblCellSpacing w:w="0" w:type="dxa"/>
        </w:trPr>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1D28A98C" w14:textId="77777777" w:rsidR="00DC17C2" w:rsidRPr="00D1249D" w:rsidRDefault="00DC17C2" w:rsidP="00DC17C2">
            <w:pPr>
              <w:pStyle w:val="NoSpacing"/>
              <w:rPr>
                <w:lang w:val="nb-NO"/>
              </w:rPr>
            </w:pPr>
            <w:r w:rsidRPr="00D1249D">
              <w:rPr>
                <w:lang w:val="nb-NO"/>
              </w:rPr>
              <w:t>500 000</w:t>
            </w:r>
          </w:p>
        </w:tc>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3BFD33A1" w14:textId="77777777" w:rsidR="00DC17C2" w:rsidRPr="00D1249D" w:rsidRDefault="00DC17C2" w:rsidP="00DC17C2">
            <w:pPr>
              <w:pStyle w:val="NoSpacing"/>
              <w:rPr>
                <w:lang w:val="nb-NO"/>
              </w:rPr>
            </w:pPr>
            <w:r w:rsidRPr="00D1249D">
              <w:rPr>
                <w:lang w:val="nb-NO"/>
              </w:rPr>
              <w:t>8</w:t>
            </w:r>
          </w:p>
        </w:tc>
        <w:tc>
          <w:tcPr>
            <w:tcW w:w="165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7BB2842C" w14:textId="77777777" w:rsidR="00DC17C2" w:rsidRPr="00D1249D" w:rsidRDefault="00DC17C2" w:rsidP="00DC17C2">
            <w:pPr>
              <w:pStyle w:val="NoSpacing"/>
              <w:rPr>
                <w:lang w:val="nb-NO"/>
              </w:rPr>
            </w:pPr>
            <w:r w:rsidRPr="00D1249D">
              <w:rPr>
                <w:lang w:val="nb-NO"/>
              </w:rPr>
              <w:t>26,658 ms</w:t>
            </w:r>
          </w:p>
        </w:tc>
      </w:tr>
      <w:tr w:rsidR="00DC17C2" w:rsidRPr="00D1249D" w14:paraId="72DD4E36" w14:textId="77777777" w:rsidTr="00DC17C2">
        <w:trPr>
          <w:tblCellSpacing w:w="0" w:type="dxa"/>
        </w:trPr>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3E96D3AC" w14:textId="77777777" w:rsidR="00DC17C2" w:rsidRPr="00D1249D" w:rsidRDefault="00DC17C2" w:rsidP="00DC17C2">
            <w:pPr>
              <w:pStyle w:val="NoSpacing"/>
              <w:rPr>
                <w:lang w:val="nb-NO"/>
              </w:rPr>
            </w:pPr>
            <w:r w:rsidRPr="00D1249D">
              <w:rPr>
                <w:lang w:val="nb-NO"/>
              </w:rPr>
              <w:t>500 000</w:t>
            </w:r>
          </w:p>
        </w:tc>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3B4349F2" w14:textId="77777777" w:rsidR="00DC17C2" w:rsidRPr="00D1249D" w:rsidRDefault="00DC17C2" w:rsidP="00DC17C2">
            <w:pPr>
              <w:pStyle w:val="NoSpacing"/>
              <w:rPr>
                <w:lang w:val="nb-NO"/>
              </w:rPr>
            </w:pPr>
            <w:r w:rsidRPr="00D1249D">
              <w:rPr>
                <w:lang w:val="nb-NO"/>
              </w:rPr>
              <w:t>16</w:t>
            </w:r>
          </w:p>
        </w:tc>
        <w:tc>
          <w:tcPr>
            <w:tcW w:w="165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1F78A84D" w14:textId="77777777" w:rsidR="00DC17C2" w:rsidRPr="00D1249D" w:rsidRDefault="00DC17C2" w:rsidP="00DC17C2">
            <w:pPr>
              <w:pStyle w:val="NoSpacing"/>
              <w:rPr>
                <w:lang w:val="nb-NO"/>
              </w:rPr>
            </w:pPr>
            <w:r w:rsidRPr="00D1249D">
              <w:rPr>
                <w:lang w:val="nb-NO"/>
              </w:rPr>
              <w:t>20,152 ms</w:t>
            </w:r>
          </w:p>
        </w:tc>
      </w:tr>
      <w:tr w:rsidR="00DC17C2" w:rsidRPr="00D1249D" w14:paraId="13941EA7" w14:textId="77777777" w:rsidTr="00DC17C2">
        <w:trPr>
          <w:tblCellSpacing w:w="0" w:type="dxa"/>
        </w:trPr>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2F0E6F52" w14:textId="77777777" w:rsidR="00DC17C2" w:rsidRPr="00D1249D" w:rsidRDefault="00DC17C2" w:rsidP="00DC17C2">
            <w:pPr>
              <w:pStyle w:val="NoSpacing"/>
              <w:rPr>
                <w:lang w:val="nb-NO"/>
              </w:rPr>
            </w:pPr>
            <w:r w:rsidRPr="00D1249D">
              <w:rPr>
                <w:lang w:val="nb-NO"/>
              </w:rPr>
              <w:t>500 000</w:t>
            </w:r>
          </w:p>
        </w:tc>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57D16073" w14:textId="77777777" w:rsidR="00DC17C2" w:rsidRPr="00D1249D" w:rsidRDefault="00DC17C2" w:rsidP="00DC17C2">
            <w:pPr>
              <w:pStyle w:val="NoSpacing"/>
              <w:rPr>
                <w:lang w:val="nb-NO"/>
              </w:rPr>
            </w:pPr>
            <w:r w:rsidRPr="00D1249D">
              <w:rPr>
                <w:lang w:val="nb-NO"/>
              </w:rPr>
              <w:t>32</w:t>
            </w:r>
          </w:p>
        </w:tc>
        <w:tc>
          <w:tcPr>
            <w:tcW w:w="165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166DF672" w14:textId="77777777" w:rsidR="00DC17C2" w:rsidRPr="00D1249D" w:rsidRDefault="00DC17C2" w:rsidP="00DC17C2">
            <w:pPr>
              <w:pStyle w:val="NoSpacing"/>
              <w:rPr>
                <w:lang w:val="nb-NO"/>
              </w:rPr>
            </w:pPr>
            <w:r w:rsidRPr="00D1249D">
              <w:rPr>
                <w:lang w:val="nb-NO"/>
              </w:rPr>
              <w:t>8,692 ms</w:t>
            </w:r>
          </w:p>
        </w:tc>
      </w:tr>
      <w:tr w:rsidR="00DC17C2" w:rsidRPr="00D1249D" w14:paraId="0D514041" w14:textId="77777777" w:rsidTr="00DC17C2">
        <w:trPr>
          <w:tblCellSpacing w:w="0" w:type="dxa"/>
        </w:trPr>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346898BA" w14:textId="77777777" w:rsidR="00DC17C2" w:rsidRPr="00D1249D" w:rsidRDefault="00DC17C2" w:rsidP="00DC17C2">
            <w:pPr>
              <w:pStyle w:val="NoSpacing"/>
              <w:rPr>
                <w:lang w:val="nb-NO"/>
              </w:rPr>
            </w:pPr>
            <w:r w:rsidRPr="00D1249D">
              <w:rPr>
                <w:lang w:val="nb-NO"/>
              </w:rPr>
              <w:t xml:space="preserve">1 000 </w:t>
            </w:r>
            <w:proofErr w:type="spellStart"/>
            <w:r w:rsidRPr="00D1249D">
              <w:rPr>
                <w:lang w:val="nb-NO"/>
              </w:rPr>
              <w:t>000</w:t>
            </w:r>
            <w:proofErr w:type="spellEnd"/>
          </w:p>
        </w:tc>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2BB7E9EB" w14:textId="77777777" w:rsidR="00DC17C2" w:rsidRPr="00D1249D" w:rsidRDefault="00DC17C2" w:rsidP="00DC17C2">
            <w:pPr>
              <w:pStyle w:val="NoSpacing"/>
              <w:rPr>
                <w:lang w:val="nb-NO"/>
              </w:rPr>
            </w:pPr>
            <w:r w:rsidRPr="00D1249D">
              <w:rPr>
                <w:lang w:val="nb-NO"/>
              </w:rPr>
              <w:t>8</w:t>
            </w:r>
          </w:p>
        </w:tc>
        <w:tc>
          <w:tcPr>
            <w:tcW w:w="165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4995A7C0" w14:textId="77777777" w:rsidR="00DC17C2" w:rsidRPr="00D1249D" w:rsidRDefault="00DC17C2" w:rsidP="00DC17C2">
            <w:pPr>
              <w:pStyle w:val="NoSpacing"/>
              <w:rPr>
                <w:lang w:val="nb-NO"/>
              </w:rPr>
            </w:pPr>
            <w:r w:rsidRPr="00D1249D">
              <w:rPr>
                <w:lang w:val="nb-NO"/>
              </w:rPr>
              <w:t>47,469 ms</w:t>
            </w:r>
          </w:p>
        </w:tc>
      </w:tr>
      <w:tr w:rsidR="00DC17C2" w:rsidRPr="00D1249D" w14:paraId="6860E797" w14:textId="77777777" w:rsidTr="00DC17C2">
        <w:trPr>
          <w:tblCellSpacing w:w="0" w:type="dxa"/>
        </w:trPr>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011AA661" w14:textId="77777777" w:rsidR="00DC17C2" w:rsidRPr="00D1249D" w:rsidRDefault="00DC17C2" w:rsidP="00DC17C2">
            <w:pPr>
              <w:pStyle w:val="NoSpacing"/>
              <w:rPr>
                <w:lang w:val="nb-NO"/>
              </w:rPr>
            </w:pPr>
            <w:r w:rsidRPr="00D1249D">
              <w:rPr>
                <w:lang w:val="nb-NO"/>
              </w:rPr>
              <w:t xml:space="preserve">1 000 </w:t>
            </w:r>
            <w:proofErr w:type="spellStart"/>
            <w:r w:rsidRPr="00D1249D">
              <w:rPr>
                <w:lang w:val="nb-NO"/>
              </w:rPr>
              <w:t>000</w:t>
            </w:r>
            <w:proofErr w:type="spellEnd"/>
          </w:p>
        </w:tc>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766D8385" w14:textId="77777777" w:rsidR="00DC17C2" w:rsidRPr="00D1249D" w:rsidRDefault="00DC17C2" w:rsidP="00DC17C2">
            <w:pPr>
              <w:pStyle w:val="NoSpacing"/>
              <w:rPr>
                <w:lang w:val="nb-NO"/>
              </w:rPr>
            </w:pPr>
            <w:r w:rsidRPr="00D1249D">
              <w:rPr>
                <w:lang w:val="nb-NO"/>
              </w:rPr>
              <w:t>16</w:t>
            </w:r>
          </w:p>
        </w:tc>
        <w:tc>
          <w:tcPr>
            <w:tcW w:w="165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625B6C91" w14:textId="77777777" w:rsidR="00DC17C2" w:rsidRPr="00D1249D" w:rsidRDefault="00DC17C2" w:rsidP="00DC17C2">
            <w:pPr>
              <w:pStyle w:val="NoSpacing"/>
              <w:rPr>
                <w:lang w:val="nb-NO"/>
              </w:rPr>
            </w:pPr>
            <w:r w:rsidRPr="00D1249D">
              <w:rPr>
                <w:lang w:val="nb-NO"/>
              </w:rPr>
              <w:t>34,812 ms</w:t>
            </w:r>
          </w:p>
        </w:tc>
      </w:tr>
      <w:tr w:rsidR="00DC17C2" w:rsidRPr="00D1249D" w14:paraId="7746C41C" w14:textId="77777777" w:rsidTr="00DC17C2">
        <w:trPr>
          <w:tblCellSpacing w:w="0" w:type="dxa"/>
        </w:trPr>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68A181CA" w14:textId="77777777" w:rsidR="00DC17C2" w:rsidRPr="00D1249D" w:rsidRDefault="00DC17C2" w:rsidP="00DC17C2">
            <w:pPr>
              <w:pStyle w:val="NoSpacing"/>
              <w:rPr>
                <w:lang w:val="nb-NO"/>
              </w:rPr>
            </w:pPr>
            <w:r w:rsidRPr="00D1249D">
              <w:rPr>
                <w:lang w:val="nb-NO"/>
              </w:rPr>
              <w:t xml:space="preserve">1 000 </w:t>
            </w:r>
            <w:proofErr w:type="spellStart"/>
            <w:r w:rsidRPr="00D1249D">
              <w:rPr>
                <w:lang w:val="nb-NO"/>
              </w:rPr>
              <w:t>000</w:t>
            </w:r>
            <w:proofErr w:type="spellEnd"/>
          </w:p>
        </w:tc>
        <w:tc>
          <w:tcPr>
            <w:tcW w:w="1650" w:type="pct"/>
            <w:tcBorders>
              <w:top w:val="nil"/>
              <w:left w:val="single" w:sz="6" w:space="0" w:color="000000"/>
              <w:bottom w:val="single" w:sz="6" w:space="0" w:color="000000"/>
              <w:right w:val="nil"/>
            </w:tcBorders>
            <w:tcMar>
              <w:top w:w="0" w:type="dxa"/>
              <w:left w:w="58" w:type="dxa"/>
              <w:bottom w:w="58" w:type="dxa"/>
              <w:right w:w="0" w:type="dxa"/>
            </w:tcMar>
            <w:hideMark/>
          </w:tcPr>
          <w:p w14:paraId="16FD1ED7" w14:textId="77777777" w:rsidR="00DC17C2" w:rsidRPr="00D1249D" w:rsidRDefault="00DC17C2" w:rsidP="00DC17C2">
            <w:pPr>
              <w:pStyle w:val="NoSpacing"/>
              <w:rPr>
                <w:lang w:val="nb-NO"/>
              </w:rPr>
            </w:pPr>
            <w:r w:rsidRPr="00D1249D">
              <w:rPr>
                <w:lang w:val="nb-NO"/>
              </w:rPr>
              <w:t>32</w:t>
            </w:r>
          </w:p>
        </w:tc>
        <w:tc>
          <w:tcPr>
            <w:tcW w:w="165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0794ECA2" w14:textId="77777777" w:rsidR="00DC17C2" w:rsidRPr="00D1249D" w:rsidRDefault="00DC17C2" w:rsidP="00DC17C2">
            <w:pPr>
              <w:pStyle w:val="NoSpacing"/>
              <w:rPr>
                <w:lang w:val="nb-NO"/>
              </w:rPr>
            </w:pPr>
            <w:r w:rsidRPr="00D1249D">
              <w:rPr>
                <w:lang w:val="nb-NO"/>
              </w:rPr>
              <w:t>16,566 ms</w:t>
            </w:r>
          </w:p>
        </w:tc>
      </w:tr>
    </w:tbl>
    <w:p w14:paraId="70DE6E64" w14:textId="77777777" w:rsidR="00DC17C2" w:rsidRPr="00D1249D" w:rsidRDefault="00DC17C2" w:rsidP="00DC17C2">
      <w:pPr>
        <w:pStyle w:val="NoSpacing"/>
        <w:rPr>
          <w:lang w:val="nb-NO"/>
        </w:rPr>
      </w:pPr>
    </w:p>
    <w:p w14:paraId="203DD4DC" w14:textId="77777777" w:rsidR="00DC17C2" w:rsidRPr="00D1249D" w:rsidRDefault="00DC17C2" w:rsidP="00DC17C2">
      <w:pPr>
        <w:pStyle w:val="NoSpacing"/>
        <w:rPr>
          <w:lang w:val="nb-NO"/>
        </w:rPr>
      </w:pPr>
    </w:p>
    <w:p w14:paraId="7F1BD05D" w14:textId="77777777" w:rsidR="00DC17C2" w:rsidRPr="00D1249D" w:rsidRDefault="00DC17C2" w:rsidP="00DC17C2">
      <w:pPr>
        <w:pStyle w:val="NoSpacing"/>
        <w:rPr>
          <w:lang w:val="nb-NO"/>
        </w:rPr>
      </w:pPr>
      <w:r w:rsidRPr="00D1249D">
        <w:rPr>
          <w:lang w:val="nb-NO"/>
        </w:rPr>
        <w:t>Når R</w:t>
      </w:r>
      <w:bookmarkStart w:id="0" w:name="_GoBack"/>
      <w:bookmarkEnd w:id="0"/>
      <w:r w:rsidRPr="00D1249D">
        <w:rPr>
          <w:lang w:val="nb-NO"/>
        </w:rPr>
        <w:t xml:space="preserve"> er 32, ser vi at </w:t>
      </w:r>
      <w:proofErr w:type="spellStart"/>
      <w:r w:rsidRPr="00D1249D">
        <w:rPr>
          <w:lang w:val="nb-NO"/>
        </w:rPr>
        <w:t>raidxSort</w:t>
      </w:r>
      <w:proofErr w:type="spellEnd"/>
      <w:r w:rsidRPr="00D1249D">
        <w:rPr>
          <w:lang w:val="nb-NO"/>
        </w:rPr>
        <w:t xml:space="preserve"> bruker kortere tid enn for de andre verdien av R det er sammenliknet med i tabellen 2.1 for én inputstørrelse. Vi ser for eksempel at når det er 10 000 usorterte elementer, bruker </w:t>
      </w:r>
      <w:proofErr w:type="spellStart"/>
      <w:r w:rsidRPr="00D1249D">
        <w:rPr>
          <w:lang w:val="nb-NO"/>
        </w:rPr>
        <w:t>radixsort</w:t>
      </w:r>
      <w:proofErr w:type="spellEnd"/>
      <w:r w:rsidRPr="00D1249D">
        <w:rPr>
          <w:lang w:val="nb-NO"/>
        </w:rPr>
        <w:t xml:space="preserve"> 3,1 millisekunder når R er 8. Når R er 16 bruker </w:t>
      </w:r>
      <w:proofErr w:type="spellStart"/>
      <w:r w:rsidRPr="00D1249D">
        <w:rPr>
          <w:lang w:val="nb-NO"/>
        </w:rPr>
        <w:t>radixSort</w:t>
      </w:r>
      <w:proofErr w:type="spellEnd"/>
      <w:r w:rsidRPr="00D1249D">
        <w:rPr>
          <w:lang w:val="nb-NO"/>
        </w:rPr>
        <w:t xml:space="preserve"> 3,3 millisekunder på å sortere 10 000 elementer, mens </w:t>
      </w:r>
      <w:proofErr w:type="spellStart"/>
      <w:r w:rsidRPr="00D1249D">
        <w:rPr>
          <w:lang w:val="nb-NO"/>
        </w:rPr>
        <w:t>radixSort</w:t>
      </w:r>
      <w:proofErr w:type="spellEnd"/>
      <w:r w:rsidRPr="00D1249D">
        <w:rPr>
          <w:lang w:val="nb-NO"/>
        </w:rPr>
        <w:t xml:space="preserve"> kun bruker 822 mikrosekunder (eller 0,8 millisekunder) når R er 32 for 10 000 usorterte elementer.</w:t>
      </w:r>
    </w:p>
    <w:p w14:paraId="691574D2" w14:textId="77777777" w:rsidR="00DC17C2" w:rsidRPr="00D1249D" w:rsidRDefault="00DC17C2" w:rsidP="00DC17C2">
      <w:pPr>
        <w:pStyle w:val="NoSpacing"/>
        <w:rPr>
          <w:lang w:val="nb-NO"/>
        </w:rPr>
      </w:pPr>
    </w:p>
    <w:p w14:paraId="772F9200" w14:textId="77777777" w:rsidR="00DC17C2" w:rsidRPr="00D1249D" w:rsidRDefault="00DC17C2" w:rsidP="00DC17C2">
      <w:pPr>
        <w:pStyle w:val="NoSpacing"/>
        <w:rPr>
          <w:lang w:val="nb-NO"/>
        </w:rPr>
      </w:pPr>
      <w:r w:rsidRPr="00D1249D">
        <w:rPr>
          <w:lang w:val="nb-NO"/>
        </w:rPr>
        <w:t xml:space="preserve">Når inputstørrelsen er liten, bruker </w:t>
      </w:r>
      <w:proofErr w:type="spellStart"/>
      <w:r w:rsidRPr="00D1249D">
        <w:rPr>
          <w:lang w:val="nb-NO"/>
        </w:rPr>
        <w:t>radixSort</w:t>
      </w:r>
      <w:proofErr w:type="spellEnd"/>
      <w:r w:rsidRPr="00D1249D">
        <w:rPr>
          <w:lang w:val="nb-NO"/>
        </w:rPr>
        <w:t xml:space="preserve"> lengst tid når R er 16, men fra 100 000 elementer og oppover, bruker </w:t>
      </w:r>
      <w:proofErr w:type="spellStart"/>
      <w:r w:rsidRPr="00D1249D">
        <w:rPr>
          <w:lang w:val="nb-NO"/>
        </w:rPr>
        <w:t>radixSort</w:t>
      </w:r>
      <w:proofErr w:type="spellEnd"/>
      <w:r w:rsidRPr="00D1249D">
        <w:rPr>
          <w:lang w:val="nb-NO"/>
        </w:rPr>
        <w:t xml:space="preserve"> lengst tiden når R er 8.</w:t>
      </w:r>
    </w:p>
    <w:p w14:paraId="7700F18C" w14:textId="77777777" w:rsidR="00DC17C2" w:rsidRPr="00D1249D" w:rsidRDefault="00DC17C2" w:rsidP="00DC17C2">
      <w:pPr>
        <w:pStyle w:val="NoSpacing"/>
        <w:rPr>
          <w:lang w:val="nb-NO"/>
        </w:rPr>
      </w:pPr>
    </w:p>
    <w:p w14:paraId="7A3F8942" w14:textId="77777777" w:rsidR="00DC17C2" w:rsidRPr="00D1249D" w:rsidRDefault="00D1249D" w:rsidP="00DC17C2">
      <w:pPr>
        <w:pStyle w:val="NoSpacing"/>
        <w:rPr>
          <w:i/>
          <w:lang w:val="nb-NO"/>
        </w:rPr>
      </w:pPr>
      <w:r w:rsidRPr="00D1249D">
        <w:rPr>
          <w:i/>
          <w:lang w:val="nb-NO"/>
        </w:rPr>
        <w:t xml:space="preserve">Figur 2.1: En graf som viser kjøretiden for </w:t>
      </w:r>
      <w:proofErr w:type="spellStart"/>
      <w:r w:rsidRPr="00D1249D">
        <w:rPr>
          <w:i/>
          <w:lang w:val="nb-NO"/>
        </w:rPr>
        <w:t>radixSort</w:t>
      </w:r>
      <w:proofErr w:type="spellEnd"/>
      <w:r w:rsidRPr="00D1249D">
        <w:rPr>
          <w:i/>
          <w:lang w:val="nb-NO"/>
        </w:rPr>
        <w:t xml:space="preserve"> med ulik inputstørrelse og ulike verdier til R.</w:t>
      </w:r>
    </w:p>
    <w:p w14:paraId="72819D7D" w14:textId="77777777" w:rsidR="00DC17C2" w:rsidRPr="00D1249D" w:rsidRDefault="0092528F" w:rsidP="00DC17C2">
      <w:pPr>
        <w:pStyle w:val="NoSpacing"/>
        <w:rPr>
          <w:lang w:val="nb-NO"/>
        </w:rPr>
      </w:pPr>
      <w:r w:rsidRPr="00D1249D">
        <w:rPr>
          <w:lang w:val="nb-NO"/>
        </w:rPr>
        <w:drawing>
          <wp:inline distT="0" distB="0" distL="0" distR="0" wp14:anchorId="539A2EBB" wp14:editId="5CFF9373">
            <wp:extent cx="5270500" cy="3220861"/>
            <wp:effectExtent l="0" t="0" r="12700" b="304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183AFA1" w14:textId="77777777" w:rsidR="00DC17C2" w:rsidRPr="00D1249D" w:rsidRDefault="00DC17C2" w:rsidP="00DC17C2">
      <w:pPr>
        <w:pStyle w:val="NoSpacing"/>
        <w:rPr>
          <w:lang w:val="nb-NO"/>
        </w:rPr>
      </w:pPr>
    </w:p>
    <w:p w14:paraId="63F5B0FE" w14:textId="77777777" w:rsidR="002830C9" w:rsidRPr="00D1249D" w:rsidRDefault="002830C9" w:rsidP="00DC17C2">
      <w:pPr>
        <w:pStyle w:val="NoSpacing"/>
        <w:rPr>
          <w:lang w:val="nb-NO"/>
        </w:rPr>
      </w:pPr>
    </w:p>
    <w:sectPr w:rsidR="002830C9" w:rsidRPr="00D1249D" w:rsidSect="000251B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pperplate Gothic Light">
    <w:panose1 w:val="020E05070202060204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pperplate">
    <w:panose1 w:val="02000504000000020004"/>
    <w:charset w:val="00"/>
    <w:family w:val="auto"/>
    <w:pitch w:val="variable"/>
    <w:sig w:usb0="80000067" w:usb1="00000000" w:usb2="00000000" w:usb3="00000000" w:csb0="0000011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7C2"/>
    <w:rsid w:val="000251B0"/>
    <w:rsid w:val="002830C9"/>
    <w:rsid w:val="003F0ABD"/>
    <w:rsid w:val="00440C22"/>
    <w:rsid w:val="0092528F"/>
    <w:rsid w:val="00A22B59"/>
    <w:rsid w:val="00AF7E2E"/>
    <w:rsid w:val="00D1249D"/>
    <w:rsid w:val="00DC17C2"/>
    <w:rsid w:val="00EE28ED"/>
    <w:rsid w:val="00EE7A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7BFC8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E2E"/>
    <w:rPr>
      <w:rFonts w:ascii="Arial" w:hAnsi="Arial"/>
      <w:lang w:val="nb-NO"/>
    </w:rPr>
  </w:style>
  <w:style w:type="paragraph" w:styleId="Heading1">
    <w:name w:val="heading 1"/>
    <w:basedOn w:val="Normal"/>
    <w:next w:val="Normal"/>
    <w:link w:val="Heading1Char"/>
    <w:autoRedefine/>
    <w:uiPriority w:val="9"/>
    <w:qFormat/>
    <w:rsid w:val="00AF7E2E"/>
    <w:pPr>
      <w:keepNext/>
      <w:keepLines/>
      <w:spacing w:before="480"/>
      <w:jc w:val="center"/>
      <w:outlineLvl w:val="0"/>
    </w:pPr>
    <w:rPr>
      <w:rFonts w:ascii="Copperplate Gothic Light" w:eastAsiaTheme="majorEastAsia" w:hAnsi="Copperplate Gothic Light" w:cstheme="majorBidi"/>
      <w:b/>
      <w:bCs/>
      <w:color w:val="345A8A" w:themeColor="accent1" w:themeShade="B5"/>
      <w:sz w:val="36"/>
      <w:szCs w:val="32"/>
    </w:rPr>
  </w:style>
  <w:style w:type="paragraph" w:styleId="Heading2">
    <w:name w:val="heading 2"/>
    <w:basedOn w:val="Normal"/>
    <w:next w:val="Normal"/>
    <w:link w:val="Heading2Char"/>
    <w:uiPriority w:val="9"/>
    <w:unhideWhenUsed/>
    <w:qFormat/>
    <w:rsid w:val="00D1249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E2E"/>
    <w:rPr>
      <w:rFonts w:ascii="Copperplate Gothic Light" w:eastAsiaTheme="majorEastAsia" w:hAnsi="Copperplate Gothic Light" w:cstheme="majorBidi"/>
      <w:b/>
      <w:bCs/>
      <w:color w:val="345A8A" w:themeColor="accent1" w:themeShade="B5"/>
      <w:sz w:val="36"/>
      <w:szCs w:val="32"/>
    </w:rPr>
  </w:style>
  <w:style w:type="paragraph" w:styleId="Title">
    <w:name w:val="Title"/>
    <w:basedOn w:val="Normal"/>
    <w:next w:val="Normal"/>
    <w:link w:val="TitleChar"/>
    <w:autoRedefine/>
    <w:uiPriority w:val="10"/>
    <w:qFormat/>
    <w:rsid w:val="00440C22"/>
    <w:pPr>
      <w:pBdr>
        <w:bottom w:val="single" w:sz="8" w:space="4" w:color="4F81BD" w:themeColor="accent1"/>
      </w:pBdr>
      <w:spacing w:before="120" w:after="180"/>
      <w:contextualSpacing/>
      <w:jc w:val="center"/>
    </w:pPr>
    <w:rPr>
      <w:rFonts w:ascii="Copperplate" w:eastAsiaTheme="majorEastAsia" w:hAnsi="Copperplate" w:cstheme="majorBidi"/>
      <w:color w:val="1F497D" w:themeColor="text2"/>
      <w:spacing w:val="5"/>
      <w:kern w:val="28"/>
      <w:sz w:val="52"/>
      <w:szCs w:val="52"/>
    </w:rPr>
  </w:style>
  <w:style w:type="character" w:customStyle="1" w:styleId="TitleChar">
    <w:name w:val="Title Char"/>
    <w:basedOn w:val="DefaultParagraphFont"/>
    <w:link w:val="Title"/>
    <w:uiPriority w:val="10"/>
    <w:rsid w:val="00440C22"/>
    <w:rPr>
      <w:rFonts w:ascii="Copperplate" w:eastAsiaTheme="majorEastAsia" w:hAnsi="Copperplate" w:cstheme="majorBidi"/>
      <w:color w:val="1F497D" w:themeColor="text2"/>
      <w:spacing w:val="5"/>
      <w:kern w:val="28"/>
      <w:sz w:val="52"/>
      <w:szCs w:val="52"/>
      <w:lang w:val="nb-NO"/>
    </w:rPr>
  </w:style>
  <w:style w:type="paragraph" w:styleId="NoSpacing">
    <w:name w:val="No Spacing"/>
    <w:autoRedefine/>
    <w:qFormat/>
    <w:rsid w:val="00A22B59"/>
    <w:pPr>
      <w:tabs>
        <w:tab w:val="left" w:pos="1701"/>
        <w:tab w:val="right" w:pos="7797"/>
      </w:tabs>
      <w:suppressAutoHyphens/>
    </w:pPr>
    <w:rPr>
      <w:rFonts w:ascii="Arial" w:eastAsia="Times New Roman" w:hAnsi="Arial" w:cs="Times New Roman"/>
      <w:sz w:val="20"/>
      <w:szCs w:val="20"/>
    </w:rPr>
  </w:style>
  <w:style w:type="paragraph" w:styleId="NormalWeb">
    <w:name w:val="Normal (Web)"/>
    <w:basedOn w:val="Normal"/>
    <w:uiPriority w:val="99"/>
    <w:semiHidden/>
    <w:unhideWhenUsed/>
    <w:rsid w:val="00DC17C2"/>
    <w:pPr>
      <w:spacing w:before="100" w:beforeAutospacing="1" w:line="288" w:lineRule="auto"/>
    </w:pPr>
    <w:rPr>
      <w:rFonts w:ascii="Times" w:hAnsi="Times" w:cs="Times New Roman"/>
      <w:sz w:val="20"/>
      <w:szCs w:val="20"/>
      <w:lang w:val="en-US"/>
    </w:rPr>
  </w:style>
  <w:style w:type="paragraph" w:styleId="BalloonText">
    <w:name w:val="Balloon Text"/>
    <w:basedOn w:val="Normal"/>
    <w:link w:val="BalloonTextChar"/>
    <w:uiPriority w:val="99"/>
    <w:semiHidden/>
    <w:unhideWhenUsed/>
    <w:rsid w:val="00DC17C2"/>
    <w:rPr>
      <w:rFonts w:ascii="Lucida Grande" w:hAnsi="Lucida Grande"/>
      <w:sz w:val="18"/>
      <w:szCs w:val="18"/>
    </w:rPr>
  </w:style>
  <w:style w:type="character" w:customStyle="1" w:styleId="BalloonTextChar">
    <w:name w:val="Balloon Text Char"/>
    <w:basedOn w:val="DefaultParagraphFont"/>
    <w:link w:val="BalloonText"/>
    <w:uiPriority w:val="99"/>
    <w:semiHidden/>
    <w:rsid w:val="00DC17C2"/>
    <w:rPr>
      <w:rFonts w:ascii="Lucida Grande" w:hAnsi="Lucida Grande"/>
      <w:sz w:val="18"/>
      <w:szCs w:val="18"/>
      <w:lang w:val="nb-NO"/>
    </w:rPr>
  </w:style>
  <w:style w:type="character" w:customStyle="1" w:styleId="Heading2Char">
    <w:name w:val="Heading 2 Char"/>
    <w:basedOn w:val="DefaultParagraphFont"/>
    <w:link w:val="Heading2"/>
    <w:uiPriority w:val="9"/>
    <w:rsid w:val="00D1249D"/>
    <w:rPr>
      <w:rFonts w:asciiTheme="majorHAnsi" w:eastAsiaTheme="majorEastAsia" w:hAnsiTheme="majorHAnsi" w:cstheme="majorBidi"/>
      <w:b/>
      <w:bCs/>
      <w:color w:val="4F81BD" w:themeColor="accent1"/>
      <w:sz w:val="26"/>
      <w:szCs w:val="26"/>
      <w:lang w:val="nb-N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E2E"/>
    <w:rPr>
      <w:rFonts w:ascii="Arial" w:hAnsi="Arial"/>
      <w:lang w:val="nb-NO"/>
    </w:rPr>
  </w:style>
  <w:style w:type="paragraph" w:styleId="Heading1">
    <w:name w:val="heading 1"/>
    <w:basedOn w:val="Normal"/>
    <w:next w:val="Normal"/>
    <w:link w:val="Heading1Char"/>
    <w:autoRedefine/>
    <w:uiPriority w:val="9"/>
    <w:qFormat/>
    <w:rsid w:val="00AF7E2E"/>
    <w:pPr>
      <w:keepNext/>
      <w:keepLines/>
      <w:spacing w:before="480"/>
      <w:jc w:val="center"/>
      <w:outlineLvl w:val="0"/>
    </w:pPr>
    <w:rPr>
      <w:rFonts w:ascii="Copperplate Gothic Light" w:eastAsiaTheme="majorEastAsia" w:hAnsi="Copperplate Gothic Light" w:cstheme="majorBidi"/>
      <w:b/>
      <w:bCs/>
      <w:color w:val="345A8A" w:themeColor="accent1" w:themeShade="B5"/>
      <w:sz w:val="36"/>
      <w:szCs w:val="32"/>
    </w:rPr>
  </w:style>
  <w:style w:type="paragraph" w:styleId="Heading2">
    <w:name w:val="heading 2"/>
    <w:basedOn w:val="Normal"/>
    <w:next w:val="Normal"/>
    <w:link w:val="Heading2Char"/>
    <w:uiPriority w:val="9"/>
    <w:unhideWhenUsed/>
    <w:qFormat/>
    <w:rsid w:val="00D1249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E2E"/>
    <w:rPr>
      <w:rFonts w:ascii="Copperplate Gothic Light" w:eastAsiaTheme="majorEastAsia" w:hAnsi="Copperplate Gothic Light" w:cstheme="majorBidi"/>
      <w:b/>
      <w:bCs/>
      <w:color w:val="345A8A" w:themeColor="accent1" w:themeShade="B5"/>
      <w:sz w:val="36"/>
      <w:szCs w:val="32"/>
    </w:rPr>
  </w:style>
  <w:style w:type="paragraph" w:styleId="Title">
    <w:name w:val="Title"/>
    <w:basedOn w:val="Normal"/>
    <w:next w:val="Normal"/>
    <w:link w:val="TitleChar"/>
    <w:autoRedefine/>
    <w:uiPriority w:val="10"/>
    <w:qFormat/>
    <w:rsid w:val="00440C22"/>
    <w:pPr>
      <w:pBdr>
        <w:bottom w:val="single" w:sz="8" w:space="4" w:color="4F81BD" w:themeColor="accent1"/>
      </w:pBdr>
      <w:spacing w:before="120" w:after="180"/>
      <w:contextualSpacing/>
      <w:jc w:val="center"/>
    </w:pPr>
    <w:rPr>
      <w:rFonts w:ascii="Copperplate" w:eastAsiaTheme="majorEastAsia" w:hAnsi="Copperplate" w:cstheme="majorBidi"/>
      <w:color w:val="1F497D" w:themeColor="text2"/>
      <w:spacing w:val="5"/>
      <w:kern w:val="28"/>
      <w:sz w:val="52"/>
      <w:szCs w:val="52"/>
    </w:rPr>
  </w:style>
  <w:style w:type="character" w:customStyle="1" w:styleId="TitleChar">
    <w:name w:val="Title Char"/>
    <w:basedOn w:val="DefaultParagraphFont"/>
    <w:link w:val="Title"/>
    <w:uiPriority w:val="10"/>
    <w:rsid w:val="00440C22"/>
    <w:rPr>
      <w:rFonts w:ascii="Copperplate" w:eastAsiaTheme="majorEastAsia" w:hAnsi="Copperplate" w:cstheme="majorBidi"/>
      <w:color w:val="1F497D" w:themeColor="text2"/>
      <w:spacing w:val="5"/>
      <w:kern w:val="28"/>
      <w:sz w:val="52"/>
      <w:szCs w:val="52"/>
      <w:lang w:val="nb-NO"/>
    </w:rPr>
  </w:style>
  <w:style w:type="paragraph" w:styleId="NoSpacing">
    <w:name w:val="No Spacing"/>
    <w:autoRedefine/>
    <w:qFormat/>
    <w:rsid w:val="00A22B59"/>
    <w:pPr>
      <w:tabs>
        <w:tab w:val="left" w:pos="1701"/>
        <w:tab w:val="right" w:pos="7797"/>
      </w:tabs>
      <w:suppressAutoHyphens/>
    </w:pPr>
    <w:rPr>
      <w:rFonts w:ascii="Arial" w:eastAsia="Times New Roman" w:hAnsi="Arial" w:cs="Times New Roman"/>
      <w:sz w:val="20"/>
      <w:szCs w:val="20"/>
    </w:rPr>
  </w:style>
  <w:style w:type="paragraph" w:styleId="NormalWeb">
    <w:name w:val="Normal (Web)"/>
    <w:basedOn w:val="Normal"/>
    <w:uiPriority w:val="99"/>
    <w:semiHidden/>
    <w:unhideWhenUsed/>
    <w:rsid w:val="00DC17C2"/>
    <w:pPr>
      <w:spacing w:before="100" w:beforeAutospacing="1" w:line="288" w:lineRule="auto"/>
    </w:pPr>
    <w:rPr>
      <w:rFonts w:ascii="Times" w:hAnsi="Times" w:cs="Times New Roman"/>
      <w:sz w:val="20"/>
      <w:szCs w:val="20"/>
      <w:lang w:val="en-US"/>
    </w:rPr>
  </w:style>
  <w:style w:type="paragraph" w:styleId="BalloonText">
    <w:name w:val="Balloon Text"/>
    <w:basedOn w:val="Normal"/>
    <w:link w:val="BalloonTextChar"/>
    <w:uiPriority w:val="99"/>
    <w:semiHidden/>
    <w:unhideWhenUsed/>
    <w:rsid w:val="00DC17C2"/>
    <w:rPr>
      <w:rFonts w:ascii="Lucida Grande" w:hAnsi="Lucida Grande"/>
      <w:sz w:val="18"/>
      <w:szCs w:val="18"/>
    </w:rPr>
  </w:style>
  <w:style w:type="character" w:customStyle="1" w:styleId="BalloonTextChar">
    <w:name w:val="Balloon Text Char"/>
    <w:basedOn w:val="DefaultParagraphFont"/>
    <w:link w:val="BalloonText"/>
    <w:uiPriority w:val="99"/>
    <w:semiHidden/>
    <w:rsid w:val="00DC17C2"/>
    <w:rPr>
      <w:rFonts w:ascii="Lucida Grande" w:hAnsi="Lucida Grande"/>
      <w:sz w:val="18"/>
      <w:szCs w:val="18"/>
      <w:lang w:val="nb-NO"/>
    </w:rPr>
  </w:style>
  <w:style w:type="character" w:customStyle="1" w:styleId="Heading2Char">
    <w:name w:val="Heading 2 Char"/>
    <w:basedOn w:val="DefaultParagraphFont"/>
    <w:link w:val="Heading2"/>
    <w:uiPriority w:val="9"/>
    <w:rsid w:val="00D1249D"/>
    <w:rPr>
      <w:rFonts w:asciiTheme="majorHAnsi" w:eastAsiaTheme="majorEastAsia" w:hAnsiTheme="majorHAnsi" w:cstheme="majorBidi"/>
      <w:b/>
      <w:bCs/>
      <w:color w:val="4F81BD" w:themeColor="accent1"/>
      <w:sz w:val="26"/>
      <w:szCs w:val="26"/>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642355">
      <w:bodyDiv w:val="1"/>
      <w:marLeft w:val="0"/>
      <w:marRight w:val="0"/>
      <w:marTop w:val="0"/>
      <w:marBottom w:val="0"/>
      <w:divBdr>
        <w:top w:val="none" w:sz="0" w:space="0" w:color="auto"/>
        <w:left w:val="none" w:sz="0" w:space="0" w:color="auto"/>
        <w:bottom w:val="none" w:sz="0" w:space="0" w:color="auto"/>
        <w:right w:val="none" w:sz="0" w:space="0" w:color="auto"/>
      </w:divBdr>
    </w:div>
    <w:div w:id="558517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Yosemite:Users:andersbo:Documents:graf_radixSo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Yosemite:Users:andersbo:Documents:graf_radixSor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Yosemite:Users:andersbo:Documents:graf_radixSor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Yosemite:Users:andersbo:Documents:graf_radixSor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Yosemite:Users:andersbo:Documents:graf_radixSo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latin typeface="Arial"/>
                <a:cs typeface="Arial"/>
              </a:defRPr>
            </a:pPr>
            <a:r>
              <a:rPr lang="en-US">
                <a:latin typeface="Arial"/>
                <a:cs typeface="Arial"/>
              </a:rPr>
              <a:t>Sammenligning mellom quicksort,</a:t>
            </a:r>
            <a:r>
              <a:rPr lang="en-US" baseline="0">
                <a:latin typeface="Arial"/>
                <a:cs typeface="Arial"/>
              </a:rPr>
              <a:t> randomizeQuicksort, insettingssortering og flettesortering (usorterte elementer)</a:t>
            </a:r>
            <a:endParaRPr lang="en-US">
              <a:latin typeface="Arial"/>
              <a:cs typeface="Arial"/>
            </a:endParaRPr>
          </a:p>
        </c:rich>
      </c:tx>
      <c:layout/>
      <c:overlay val="0"/>
    </c:title>
    <c:autoTitleDeleted val="0"/>
    <c:plotArea>
      <c:layout/>
      <c:lineChart>
        <c:grouping val="standard"/>
        <c:varyColors val="0"/>
        <c:ser>
          <c:idx val="0"/>
          <c:order val="0"/>
          <c:tx>
            <c:strRef>
              <c:f>Sheet1!$B$29</c:f>
              <c:strCache>
                <c:ptCount val="1"/>
                <c:pt idx="0">
                  <c:v>quicksort</c:v>
                </c:pt>
              </c:strCache>
            </c:strRef>
          </c:tx>
          <c:cat>
            <c:numRef>
              <c:f>Sheet1!$A$30:$A$36</c:f>
              <c:numCache>
                <c:formatCode>General</c:formatCode>
                <c:ptCount val="7"/>
                <c:pt idx="0">
                  <c:v>10.0</c:v>
                </c:pt>
                <c:pt idx="1">
                  <c:v>100.0</c:v>
                </c:pt>
                <c:pt idx="2">
                  <c:v>1000.0</c:v>
                </c:pt>
                <c:pt idx="3">
                  <c:v>10000.0</c:v>
                </c:pt>
                <c:pt idx="4">
                  <c:v>100000.0</c:v>
                </c:pt>
                <c:pt idx="5">
                  <c:v>500000.0</c:v>
                </c:pt>
                <c:pt idx="6">
                  <c:v>1.0E6</c:v>
                </c:pt>
              </c:numCache>
            </c:numRef>
          </c:cat>
          <c:val>
            <c:numRef>
              <c:f>Sheet1!$B$30:$B$36</c:f>
              <c:numCache>
                <c:formatCode>General</c:formatCode>
                <c:ptCount val="7"/>
                <c:pt idx="0">
                  <c:v>0.008</c:v>
                </c:pt>
                <c:pt idx="1">
                  <c:v>0.046</c:v>
                </c:pt>
                <c:pt idx="2">
                  <c:v>0.575</c:v>
                </c:pt>
                <c:pt idx="3">
                  <c:v>2.337</c:v>
                </c:pt>
                <c:pt idx="4">
                  <c:v>14.394</c:v>
                </c:pt>
                <c:pt idx="5">
                  <c:v>50.227</c:v>
                </c:pt>
                <c:pt idx="6">
                  <c:v>105.537</c:v>
                </c:pt>
              </c:numCache>
            </c:numRef>
          </c:val>
          <c:smooth val="0"/>
        </c:ser>
        <c:ser>
          <c:idx val="1"/>
          <c:order val="1"/>
          <c:tx>
            <c:strRef>
              <c:f>Sheet1!$C$29</c:f>
              <c:strCache>
                <c:ptCount val="1"/>
                <c:pt idx="0">
                  <c:v>randomizeQuicksort</c:v>
                </c:pt>
              </c:strCache>
            </c:strRef>
          </c:tx>
          <c:cat>
            <c:numRef>
              <c:f>Sheet1!$A$30:$A$36</c:f>
              <c:numCache>
                <c:formatCode>General</c:formatCode>
                <c:ptCount val="7"/>
                <c:pt idx="0">
                  <c:v>10.0</c:v>
                </c:pt>
                <c:pt idx="1">
                  <c:v>100.0</c:v>
                </c:pt>
                <c:pt idx="2">
                  <c:v>1000.0</c:v>
                </c:pt>
                <c:pt idx="3">
                  <c:v>10000.0</c:v>
                </c:pt>
                <c:pt idx="4">
                  <c:v>100000.0</c:v>
                </c:pt>
                <c:pt idx="5">
                  <c:v>500000.0</c:v>
                </c:pt>
                <c:pt idx="6">
                  <c:v>1.0E6</c:v>
                </c:pt>
              </c:numCache>
            </c:numRef>
          </c:cat>
          <c:val>
            <c:numRef>
              <c:f>Sheet1!$C$30:$C$36</c:f>
              <c:numCache>
                <c:formatCode>General</c:formatCode>
                <c:ptCount val="7"/>
                <c:pt idx="0">
                  <c:v>0.511</c:v>
                </c:pt>
                <c:pt idx="1">
                  <c:v>0.634</c:v>
                </c:pt>
                <c:pt idx="2">
                  <c:v>2.625</c:v>
                </c:pt>
                <c:pt idx="3">
                  <c:v>8.518000000000001</c:v>
                </c:pt>
                <c:pt idx="4">
                  <c:v>23.358</c:v>
                </c:pt>
                <c:pt idx="5">
                  <c:v>73.503</c:v>
                </c:pt>
                <c:pt idx="6">
                  <c:v>158.409</c:v>
                </c:pt>
              </c:numCache>
            </c:numRef>
          </c:val>
          <c:smooth val="0"/>
        </c:ser>
        <c:ser>
          <c:idx val="2"/>
          <c:order val="2"/>
          <c:tx>
            <c:strRef>
              <c:f>Sheet1!$D$29</c:f>
              <c:strCache>
                <c:ptCount val="1"/>
                <c:pt idx="0">
                  <c:v>insettingssortering</c:v>
                </c:pt>
              </c:strCache>
            </c:strRef>
          </c:tx>
          <c:cat>
            <c:numRef>
              <c:f>Sheet1!$A$30:$A$36</c:f>
              <c:numCache>
                <c:formatCode>General</c:formatCode>
                <c:ptCount val="7"/>
                <c:pt idx="0">
                  <c:v>10.0</c:v>
                </c:pt>
                <c:pt idx="1">
                  <c:v>100.0</c:v>
                </c:pt>
                <c:pt idx="2">
                  <c:v>1000.0</c:v>
                </c:pt>
                <c:pt idx="3">
                  <c:v>10000.0</c:v>
                </c:pt>
                <c:pt idx="4">
                  <c:v>100000.0</c:v>
                </c:pt>
                <c:pt idx="5">
                  <c:v>500000.0</c:v>
                </c:pt>
                <c:pt idx="6">
                  <c:v>1.0E6</c:v>
                </c:pt>
              </c:numCache>
            </c:numRef>
          </c:cat>
          <c:val>
            <c:numRef>
              <c:f>Sheet1!$D$30:$D$36</c:f>
              <c:numCache>
                <c:formatCode>General</c:formatCode>
                <c:ptCount val="7"/>
                <c:pt idx="0">
                  <c:v>0.0</c:v>
                </c:pt>
                <c:pt idx="1">
                  <c:v>0.089</c:v>
                </c:pt>
                <c:pt idx="2">
                  <c:v>6.0</c:v>
                </c:pt>
                <c:pt idx="3">
                  <c:v>47.0</c:v>
                </c:pt>
                <c:pt idx="4">
                  <c:v>1122.0</c:v>
                </c:pt>
                <c:pt idx="5">
                  <c:v>28541.0</c:v>
                </c:pt>
                <c:pt idx="6">
                  <c:v>110816.0</c:v>
                </c:pt>
              </c:numCache>
            </c:numRef>
          </c:val>
          <c:smooth val="0"/>
        </c:ser>
        <c:ser>
          <c:idx val="3"/>
          <c:order val="3"/>
          <c:tx>
            <c:strRef>
              <c:f>Sheet1!$E$29</c:f>
              <c:strCache>
                <c:ptCount val="1"/>
                <c:pt idx="0">
                  <c:v>flettesortering</c:v>
                </c:pt>
              </c:strCache>
            </c:strRef>
          </c:tx>
          <c:cat>
            <c:numRef>
              <c:f>Sheet1!$A$30:$A$36</c:f>
              <c:numCache>
                <c:formatCode>General</c:formatCode>
                <c:ptCount val="7"/>
                <c:pt idx="0">
                  <c:v>10.0</c:v>
                </c:pt>
                <c:pt idx="1">
                  <c:v>100.0</c:v>
                </c:pt>
                <c:pt idx="2">
                  <c:v>1000.0</c:v>
                </c:pt>
                <c:pt idx="3">
                  <c:v>10000.0</c:v>
                </c:pt>
                <c:pt idx="4">
                  <c:v>100000.0</c:v>
                </c:pt>
                <c:pt idx="5">
                  <c:v>500000.0</c:v>
                </c:pt>
                <c:pt idx="6">
                  <c:v>1.0E6</c:v>
                </c:pt>
              </c:numCache>
            </c:numRef>
          </c:cat>
          <c:val>
            <c:numRef>
              <c:f>Sheet1!$E$30:$E$36</c:f>
              <c:numCache>
                <c:formatCode>General</c:formatCode>
                <c:ptCount val="7"/>
                <c:pt idx="0">
                  <c:v>0.014</c:v>
                </c:pt>
                <c:pt idx="1">
                  <c:v>0.083</c:v>
                </c:pt>
                <c:pt idx="2">
                  <c:v>0.925</c:v>
                </c:pt>
                <c:pt idx="3">
                  <c:v>3.046</c:v>
                </c:pt>
                <c:pt idx="4">
                  <c:v>27.273</c:v>
                </c:pt>
                <c:pt idx="5">
                  <c:v>66.991</c:v>
                </c:pt>
                <c:pt idx="6">
                  <c:v>135.0</c:v>
                </c:pt>
              </c:numCache>
            </c:numRef>
          </c:val>
          <c:smooth val="0"/>
        </c:ser>
        <c:dLbls>
          <c:showLegendKey val="0"/>
          <c:showVal val="0"/>
          <c:showCatName val="0"/>
          <c:showSerName val="0"/>
          <c:showPercent val="0"/>
          <c:showBubbleSize val="0"/>
        </c:dLbls>
        <c:marker val="1"/>
        <c:smooth val="0"/>
        <c:axId val="-2118285640"/>
        <c:axId val="-2121301544"/>
      </c:lineChart>
      <c:catAx>
        <c:axId val="-2118285640"/>
        <c:scaling>
          <c:orientation val="minMax"/>
        </c:scaling>
        <c:delete val="0"/>
        <c:axPos val="b"/>
        <c:title>
          <c:tx>
            <c:rich>
              <a:bodyPr/>
              <a:lstStyle/>
              <a:p>
                <a:pPr>
                  <a:defRPr>
                    <a:latin typeface="Arial"/>
                    <a:cs typeface="Arial"/>
                  </a:defRPr>
                </a:pPr>
                <a:r>
                  <a:rPr lang="en-US">
                    <a:latin typeface="Arial"/>
                    <a:cs typeface="Arial"/>
                  </a:rPr>
                  <a:t>Input</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2121301544"/>
        <c:crosses val="autoZero"/>
        <c:auto val="1"/>
        <c:lblAlgn val="ctr"/>
        <c:lblOffset val="100"/>
        <c:noMultiLvlLbl val="0"/>
      </c:catAx>
      <c:valAx>
        <c:axId val="-2121301544"/>
        <c:scaling>
          <c:orientation val="minMax"/>
          <c:max val="200.0"/>
        </c:scaling>
        <c:delete val="0"/>
        <c:axPos val="l"/>
        <c:majorGridlines/>
        <c:title>
          <c:tx>
            <c:rich>
              <a:bodyPr rot="0" vert="horz"/>
              <a:lstStyle/>
              <a:p>
                <a:pPr>
                  <a:defRPr>
                    <a:latin typeface="Arial"/>
                    <a:cs typeface="Arial"/>
                  </a:defRPr>
                </a:pPr>
                <a:r>
                  <a:rPr lang="en-US">
                    <a:latin typeface="Arial"/>
                    <a:cs typeface="Arial"/>
                  </a:rPr>
                  <a:t>Kjøretid</a:t>
                </a:r>
                <a:r>
                  <a:rPr lang="en-US" baseline="0">
                    <a:latin typeface="Arial"/>
                    <a:cs typeface="Arial"/>
                  </a:rPr>
                  <a:t> i ms</a:t>
                </a:r>
                <a:endParaRPr lang="en-US">
                  <a:latin typeface="Arial"/>
                  <a:cs typeface="Arial"/>
                </a:endParaRP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2118285640"/>
        <c:crosses val="autoZero"/>
        <c:crossBetween val="between"/>
        <c:majorUnit val="50.0"/>
      </c:valAx>
    </c:plotArea>
    <c:legend>
      <c:legendPos val="r"/>
      <c:layout/>
      <c:overlay val="0"/>
      <c:txPr>
        <a:bodyPr/>
        <a:lstStyle/>
        <a:p>
          <a:pPr>
            <a:defRPr>
              <a:latin typeface="Arial"/>
              <a:cs typeface="Arial"/>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latin typeface="Arial"/>
                <a:cs typeface="Arial"/>
              </a:defRPr>
            </a:pPr>
            <a:r>
              <a:rPr lang="en-US">
                <a:latin typeface="Arial"/>
                <a:cs typeface="Arial"/>
              </a:rPr>
              <a:t>Tidsbruk</a:t>
            </a:r>
            <a:r>
              <a:rPr lang="en-US" baseline="0">
                <a:latin typeface="Arial"/>
                <a:cs typeface="Arial"/>
              </a:rPr>
              <a:t> til insettingssortering for usorterte elementer</a:t>
            </a:r>
            <a:endParaRPr lang="en-US">
              <a:latin typeface="Arial"/>
              <a:cs typeface="Arial"/>
            </a:endParaRPr>
          </a:p>
        </c:rich>
      </c:tx>
      <c:layout/>
      <c:overlay val="0"/>
    </c:title>
    <c:autoTitleDeleted val="0"/>
    <c:plotArea>
      <c:layout/>
      <c:lineChart>
        <c:grouping val="standard"/>
        <c:varyColors val="0"/>
        <c:ser>
          <c:idx val="0"/>
          <c:order val="0"/>
          <c:tx>
            <c:strRef>
              <c:f>Sheet1!$D$29</c:f>
              <c:strCache>
                <c:ptCount val="1"/>
                <c:pt idx="0">
                  <c:v>insettingssortering</c:v>
                </c:pt>
              </c:strCache>
            </c:strRef>
          </c:tx>
          <c:cat>
            <c:numRef>
              <c:f>Sheet1!$A$30:$A$36</c:f>
              <c:numCache>
                <c:formatCode>General</c:formatCode>
                <c:ptCount val="7"/>
                <c:pt idx="0">
                  <c:v>10.0</c:v>
                </c:pt>
                <c:pt idx="1">
                  <c:v>100.0</c:v>
                </c:pt>
                <c:pt idx="2">
                  <c:v>1000.0</c:v>
                </c:pt>
                <c:pt idx="3">
                  <c:v>10000.0</c:v>
                </c:pt>
                <c:pt idx="4">
                  <c:v>100000.0</c:v>
                </c:pt>
                <c:pt idx="5">
                  <c:v>500000.0</c:v>
                </c:pt>
                <c:pt idx="6">
                  <c:v>1.0E6</c:v>
                </c:pt>
              </c:numCache>
            </c:numRef>
          </c:cat>
          <c:val>
            <c:numRef>
              <c:f>Sheet1!$D$30:$D$37</c:f>
              <c:numCache>
                <c:formatCode>General</c:formatCode>
                <c:ptCount val="8"/>
                <c:pt idx="0">
                  <c:v>0.0</c:v>
                </c:pt>
                <c:pt idx="1">
                  <c:v>0.089</c:v>
                </c:pt>
                <c:pt idx="2">
                  <c:v>6.0</c:v>
                </c:pt>
                <c:pt idx="3">
                  <c:v>47.0</c:v>
                </c:pt>
                <c:pt idx="4">
                  <c:v>1122.0</c:v>
                </c:pt>
                <c:pt idx="5">
                  <c:v>28541.0</c:v>
                </c:pt>
                <c:pt idx="6">
                  <c:v>110816.0</c:v>
                </c:pt>
              </c:numCache>
            </c:numRef>
          </c:val>
          <c:smooth val="0"/>
        </c:ser>
        <c:dLbls>
          <c:showLegendKey val="0"/>
          <c:showVal val="0"/>
          <c:showCatName val="0"/>
          <c:showSerName val="0"/>
          <c:showPercent val="0"/>
          <c:showBubbleSize val="0"/>
        </c:dLbls>
        <c:marker val="1"/>
        <c:smooth val="0"/>
        <c:axId val="-2130368888"/>
        <c:axId val="-2122313480"/>
      </c:lineChart>
      <c:catAx>
        <c:axId val="-2130368888"/>
        <c:scaling>
          <c:orientation val="minMax"/>
        </c:scaling>
        <c:delete val="0"/>
        <c:axPos val="b"/>
        <c:title>
          <c:tx>
            <c:rich>
              <a:bodyPr/>
              <a:lstStyle/>
              <a:p>
                <a:pPr>
                  <a:defRPr>
                    <a:latin typeface="Arial"/>
                    <a:cs typeface="Arial"/>
                  </a:defRPr>
                </a:pPr>
                <a:r>
                  <a:rPr lang="en-US">
                    <a:latin typeface="Arial"/>
                    <a:cs typeface="Arial"/>
                  </a:rPr>
                  <a:t>Input</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2122313480"/>
        <c:crosses val="autoZero"/>
        <c:auto val="1"/>
        <c:lblAlgn val="ctr"/>
        <c:lblOffset val="100"/>
        <c:noMultiLvlLbl val="0"/>
      </c:catAx>
      <c:valAx>
        <c:axId val="-2122313480"/>
        <c:scaling>
          <c:orientation val="minMax"/>
        </c:scaling>
        <c:delete val="0"/>
        <c:axPos val="l"/>
        <c:majorGridlines/>
        <c:title>
          <c:tx>
            <c:rich>
              <a:bodyPr rot="0" vert="horz"/>
              <a:lstStyle/>
              <a:p>
                <a:pPr>
                  <a:defRPr>
                    <a:latin typeface="Arial"/>
                    <a:cs typeface="Arial"/>
                  </a:defRPr>
                </a:pPr>
                <a:r>
                  <a:rPr lang="en-US">
                    <a:latin typeface="Arial"/>
                    <a:cs typeface="Arial"/>
                  </a:rPr>
                  <a:t>Kjøretid i ms</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2130368888"/>
        <c:crosses val="autoZero"/>
        <c:crossBetween val="between"/>
      </c:valAx>
    </c:plotArea>
    <c:legend>
      <c:legendPos val="r"/>
      <c:layout/>
      <c:overlay val="0"/>
      <c:txPr>
        <a:bodyPr/>
        <a:lstStyle/>
        <a:p>
          <a:pPr>
            <a:defRPr>
              <a:latin typeface="Arial"/>
              <a:cs typeface="Arial"/>
            </a:defRPr>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latin typeface="Arial"/>
                <a:cs typeface="Arial"/>
              </a:defRPr>
            </a:pPr>
            <a:r>
              <a:rPr lang="en-US">
                <a:latin typeface="Arial"/>
                <a:cs typeface="Arial"/>
              </a:rPr>
              <a:t>Sammenligning</a:t>
            </a:r>
            <a:r>
              <a:rPr lang="en-US" baseline="0">
                <a:latin typeface="Arial"/>
                <a:cs typeface="Arial"/>
              </a:rPr>
              <a:t> mellom quicksort, randomizeQuicksort, innsettingssortering og flettesortering for omvendt sorterte elementer</a:t>
            </a:r>
            <a:endParaRPr lang="en-US">
              <a:latin typeface="Arial"/>
              <a:cs typeface="Arial"/>
            </a:endParaRPr>
          </a:p>
        </c:rich>
      </c:tx>
      <c:layout/>
      <c:overlay val="0"/>
    </c:title>
    <c:autoTitleDeleted val="0"/>
    <c:plotArea>
      <c:layout/>
      <c:lineChart>
        <c:grouping val="standard"/>
        <c:varyColors val="0"/>
        <c:ser>
          <c:idx val="0"/>
          <c:order val="0"/>
          <c:tx>
            <c:strRef>
              <c:f>Sheet1!$B$61</c:f>
              <c:strCache>
                <c:ptCount val="1"/>
                <c:pt idx="0">
                  <c:v>quicksort</c:v>
                </c:pt>
              </c:strCache>
            </c:strRef>
          </c:tx>
          <c:cat>
            <c:numRef>
              <c:f>Sheet1!$A$62:$A$68</c:f>
              <c:numCache>
                <c:formatCode>General</c:formatCode>
                <c:ptCount val="7"/>
                <c:pt idx="0">
                  <c:v>10.0</c:v>
                </c:pt>
                <c:pt idx="1">
                  <c:v>100.0</c:v>
                </c:pt>
                <c:pt idx="2">
                  <c:v>1000.0</c:v>
                </c:pt>
                <c:pt idx="3">
                  <c:v>10000.0</c:v>
                </c:pt>
                <c:pt idx="4">
                  <c:v>100000.0</c:v>
                </c:pt>
                <c:pt idx="5">
                  <c:v>500000.0</c:v>
                </c:pt>
                <c:pt idx="6">
                  <c:v>1.0E6</c:v>
                </c:pt>
              </c:numCache>
            </c:numRef>
          </c:cat>
          <c:val>
            <c:numRef>
              <c:f>Sheet1!$B$62:$B$68</c:f>
              <c:numCache>
                <c:formatCode>General</c:formatCode>
                <c:ptCount val="7"/>
                <c:pt idx="0">
                  <c:v>0.009</c:v>
                </c:pt>
                <c:pt idx="1">
                  <c:v>0.342</c:v>
                </c:pt>
                <c:pt idx="2">
                  <c:v>10.415</c:v>
                </c:pt>
                <c:pt idx="3">
                  <c:v>72.672</c:v>
                </c:pt>
                <c:pt idx="4">
                  <c:v>5101.0</c:v>
                </c:pt>
                <c:pt idx="5">
                  <c:v>105166.0</c:v>
                </c:pt>
                <c:pt idx="6">
                  <c:v>483787.0</c:v>
                </c:pt>
              </c:numCache>
            </c:numRef>
          </c:val>
          <c:smooth val="0"/>
        </c:ser>
        <c:ser>
          <c:idx val="1"/>
          <c:order val="1"/>
          <c:tx>
            <c:strRef>
              <c:f>Sheet1!$C$61</c:f>
              <c:strCache>
                <c:ptCount val="1"/>
                <c:pt idx="0">
                  <c:v>randomizeQuicksort</c:v>
                </c:pt>
              </c:strCache>
            </c:strRef>
          </c:tx>
          <c:cat>
            <c:numRef>
              <c:f>Sheet1!$A$62:$A$68</c:f>
              <c:numCache>
                <c:formatCode>General</c:formatCode>
                <c:ptCount val="7"/>
                <c:pt idx="0">
                  <c:v>10.0</c:v>
                </c:pt>
                <c:pt idx="1">
                  <c:v>100.0</c:v>
                </c:pt>
                <c:pt idx="2">
                  <c:v>1000.0</c:v>
                </c:pt>
                <c:pt idx="3">
                  <c:v>10000.0</c:v>
                </c:pt>
                <c:pt idx="4">
                  <c:v>100000.0</c:v>
                </c:pt>
                <c:pt idx="5">
                  <c:v>500000.0</c:v>
                </c:pt>
                <c:pt idx="6">
                  <c:v>1.0E6</c:v>
                </c:pt>
              </c:numCache>
            </c:numRef>
          </c:cat>
          <c:val>
            <c:numRef>
              <c:f>Sheet1!$C$62:$C$68</c:f>
              <c:numCache>
                <c:formatCode>General</c:formatCode>
                <c:ptCount val="7"/>
                <c:pt idx="0">
                  <c:v>0.514</c:v>
                </c:pt>
                <c:pt idx="1">
                  <c:v>1.199</c:v>
                </c:pt>
                <c:pt idx="2">
                  <c:v>2.671</c:v>
                </c:pt>
                <c:pt idx="3">
                  <c:v>8.757</c:v>
                </c:pt>
                <c:pt idx="4">
                  <c:v>19.849</c:v>
                </c:pt>
                <c:pt idx="5">
                  <c:v>57.042</c:v>
                </c:pt>
                <c:pt idx="6">
                  <c:v>119.444</c:v>
                </c:pt>
              </c:numCache>
            </c:numRef>
          </c:val>
          <c:smooth val="0"/>
        </c:ser>
        <c:ser>
          <c:idx val="2"/>
          <c:order val="2"/>
          <c:tx>
            <c:strRef>
              <c:f>Sheet1!$D$61</c:f>
              <c:strCache>
                <c:ptCount val="1"/>
                <c:pt idx="0">
                  <c:v>insettingssortering</c:v>
                </c:pt>
              </c:strCache>
            </c:strRef>
          </c:tx>
          <c:cat>
            <c:numRef>
              <c:f>Sheet1!$A$62:$A$68</c:f>
              <c:numCache>
                <c:formatCode>General</c:formatCode>
                <c:ptCount val="7"/>
                <c:pt idx="0">
                  <c:v>10.0</c:v>
                </c:pt>
                <c:pt idx="1">
                  <c:v>100.0</c:v>
                </c:pt>
                <c:pt idx="2">
                  <c:v>1000.0</c:v>
                </c:pt>
                <c:pt idx="3">
                  <c:v>10000.0</c:v>
                </c:pt>
                <c:pt idx="4">
                  <c:v>100000.0</c:v>
                </c:pt>
                <c:pt idx="5">
                  <c:v>500000.0</c:v>
                </c:pt>
                <c:pt idx="6">
                  <c:v>1.0E6</c:v>
                </c:pt>
              </c:numCache>
            </c:numRef>
          </c:cat>
          <c:val>
            <c:numRef>
              <c:f>Sheet1!$D$62:$D$68</c:f>
              <c:numCache>
                <c:formatCode>General</c:formatCode>
                <c:ptCount val="7"/>
                <c:pt idx="0">
                  <c:v>0.004</c:v>
                </c:pt>
                <c:pt idx="1">
                  <c:v>0.126</c:v>
                </c:pt>
                <c:pt idx="2">
                  <c:v>6.74</c:v>
                </c:pt>
                <c:pt idx="3">
                  <c:v>52.724</c:v>
                </c:pt>
                <c:pt idx="4">
                  <c:v>2133.0</c:v>
                </c:pt>
                <c:pt idx="5">
                  <c:v>53456.0</c:v>
                </c:pt>
                <c:pt idx="6">
                  <c:v>216276.0</c:v>
                </c:pt>
              </c:numCache>
            </c:numRef>
          </c:val>
          <c:smooth val="0"/>
        </c:ser>
        <c:ser>
          <c:idx val="3"/>
          <c:order val="3"/>
          <c:tx>
            <c:strRef>
              <c:f>Sheet1!$E$61</c:f>
              <c:strCache>
                <c:ptCount val="1"/>
                <c:pt idx="0">
                  <c:v>flettesortering</c:v>
                </c:pt>
              </c:strCache>
            </c:strRef>
          </c:tx>
          <c:cat>
            <c:numRef>
              <c:f>Sheet1!$A$62:$A$68</c:f>
              <c:numCache>
                <c:formatCode>General</c:formatCode>
                <c:ptCount val="7"/>
                <c:pt idx="0">
                  <c:v>10.0</c:v>
                </c:pt>
                <c:pt idx="1">
                  <c:v>100.0</c:v>
                </c:pt>
                <c:pt idx="2">
                  <c:v>1000.0</c:v>
                </c:pt>
                <c:pt idx="3">
                  <c:v>10000.0</c:v>
                </c:pt>
                <c:pt idx="4">
                  <c:v>100000.0</c:v>
                </c:pt>
                <c:pt idx="5">
                  <c:v>500000.0</c:v>
                </c:pt>
                <c:pt idx="6">
                  <c:v>1.0E6</c:v>
                </c:pt>
              </c:numCache>
            </c:numRef>
          </c:cat>
          <c:val>
            <c:numRef>
              <c:f>Sheet1!$E$62:$E$68</c:f>
              <c:numCache>
                <c:formatCode>General</c:formatCode>
                <c:ptCount val="7"/>
                <c:pt idx="0">
                  <c:v>0.014</c:v>
                </c:pt>
                <c:pt idx="1">
                  <c:v>0.07</c:v>
                </c:pt>
                <c:pt idx="2">
                  <c:v>0.798</c:v>
                </c:pt>
                <c:pt idx="3">
                  <c:v>2.454</c:v>
                </c:pt>
                <c:pt idx="4">
                  <c:v>12.039</c:v>
                </c:pt>
                <c:pt idx="5">
                  <c:v>30.348</c:v>
                </c:pt>
                <c:pt idx="6">
                  <c:v>52.789</c:v>
                </c:pt>
              </c:numCache>
            </c:numRef>
          </c:val>
          <c:smooth val="0"/>
        </c:ser>
        <c:dLbls>
          <c:showLegendKey val="0"/>
          <c:showVal val="0"/>
          <c:showCatName val="0"/>
          <c:showSerName val="0"/>
          <c:showPercent val="0"/>
          <c:showBubbleSize val="0"/>
        </c:dLbls>
        <c:marker val="1"/>
        <c:smooth val="0"/>
        <c:axId val="-2115173480"/>
        <c:axId val="-2118461432"/>
      </c:lineChart>
      <c:catAx>
        <c:axId val="-2115173480"/>
        <c:scaling>
          <c:orientation val="minMax"/>
        </c:scaling>
        <c:delete val="0"/>
        <c:axPos val="b"/>
        <c:title>
          <c:tx>
            <c:rich>
              <a:bodyPr/>
              <a:lstStyle/>
              <a:p>
                <a:pPr>
                  <a:defRPr>
                    <a:latin typeface="Arial"/>
                    <a:cs typeface="Arial"/>
                  </a:defRPr>
                </a:pPr>
                <a:r>
                  <a:rPr lang="en-US">
                    <a:latin typeface="Arial"/>
                    <a:cs typeface="Arial"/>
                  </a:rPr>
                  <a:t>Imput</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2118461432"/>
        <c:crosses val="autoZero"/>
        <c:auto val="1"/>
        <c:lblAlgn val="ctr"/>
        <c:lblOffset val="100"/>
        <c:noMultiLvlLbl val="0"/>
      </c:catAx>
      <c:valAx>
        <c:axId val="-2118461432"/>
        <c:scaling>
          <c:orientation val="minMax"/>
          <c:max val="500.0"/>
        </c:scaling>
        <c:delete val="0"/>
        <c:axPos val="l"/>
        <c:majorGridlines/>
        <c:title>
          <c:tx>
            <c:rich>
              <a:bodyPr rot="0" vert="horz"/>
              <a:lstStyle/>
              <a:p>
                <a:pPr>
                  <a:defRPr>
                    <a:latin typeface="Arial"/>
                    <a:cs typeface="Arial"/>
                  </a:defRPr>
                </a:pPr>
                <a:r>
                  <a:rPr lang="en-US">
                    <a:latin typeface="Arial"/>
                    <a:cs typeface="Arial"/>
                  </a:rPr>
                  <a:t>Kjøretid i ms</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2115173480"/>
        <c:crosses val="autoZero"/>
        <c:crossBetween val="between"/>
      </c:valAx>
    </c:plotArea>
    <c:legend>
      <c:legendPos val="r"/>
      <c:layout/>
      <c:overlay val="0"/>
      <c:txPr>
        <a:bodyPr/>
        <a:lstStyle/>
        <a:p>
          <a:pPr>
            <a:defRPr>
              <a:latin typeface="Arial"/>
              <a:cs typeface="Arial"/>
            </a:defRPr>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latin typeface="Arial"/>
                <a:cs typeface="Arial"/>
              </a:defRPr>
            </a:pPr>
            <a:r>
              <a:rPr lang="en-US">
                <a:latin typeface="Arial"/>
                <a:cs typeface="Arial"/>
              </a:rPr>
              <a:t>Sammenligning mellom quicksort</a:t>
            </a:r>
            <a:r>
              <a:rPr lang="en-US" baseline="0">
                <a:latin typeface="Arial"/>
                <a:cs typeface="Arial"/>
              </a:rPr>
              <a:t> og insettingssortering for omvendt sorterte elementer</a:t>
            </a:r>
            <a:endParaRPr lang="en-US">
              <a:latin typeface="Arial"/>
              <a:cs typeface="Arial"/>
            </a:endParaRPr>
          </a:p>
        </c:rich>
      </c:tx>
      <c:layout/>
      <c:overlay val="0"/>
    </c:title>
    <c:autoTitleDeleted val="0"/>
    <c:plotArea>
      <c:layout/>
      <c:lineChart>
        <c:grouping val="standard"/>
        <c:varyColors val="0"/>
        <c:ser>
          <c:idx val="0"/>
          <c:order val="0"/>
          <c:tx>
            <c:strRef>
              <c:f>Sheet1!$B$61</c:f>
              <c:strCache>
                <c:ptCount val="1"/>
                <c:pt idx="0">
                  <c:v>quicksort</c:v>
                </c:pt>
              </c:strCache>
            </c:strRef>
          </c:tx>
          <c:cat>
            <c:numRef>
              <c:f>Sheet1!$A$62:$A$68</c:f>
              <c:numCache>
                <c:formatCode>General</c:formatCode>
                <c:ptCount val="7"/>
                <c:pt idx="0">
                  <c:v>10.0</c:v>
                </c:pt>
                <c:pt idx="1">
                  <c:v>100.0</c:v>
                </c:pt>
                <c:pt idx="2">
                  <c:v>1000.0</c:v>
                </c:pt>
                <c:pt idx="3">
                  <c:v>10000.0</c:v>
                </c:pt>
                <c:pt idx="4">
                  <c:v>100000.0</c:v>
                </c:pt>
                <c:pt idx="5">
                  <c:v>500000.0</c:v>
                </c:pt>
                <c:pt idx="6">
                  <c:v>1.0E6</c:v>
                </c:pt>
              </c:numCache>
            </c:numRef>
          </c:cat>
          <c:val>
            <c:numRef>
              <c:f>Sheet1!$B$62:$B$68</c:f>
              <c:numCache>
                <c:formatCode>General</c:formatCode>
                <c:ptCount val="7"/>
                <c:pt idx="0">
                  <c:v>0.009</c:v>
                </c:pt>
                <c:pt idx="1">
                  <c:v>0.342</c:v>
                </c:pt>
                <c:pt idx="2">
                  <c:v>10.415</c:v>
                </c:pt>
                <c:pt idx="3">
                  <c:v>72.672</c:v>
                </c:pt>
                <c:pt idx="4">
                  <c:v>5101.0</c:v>
                </c:pt>
                <c:pt idx="5">
                  <c:v>105166.0</c:v>
                </c:pt>
                <c:pt idx="6">
                  <c:v>483787.0</c:v>
                </c:pt>
              </c:numCache>
            </c:numRef>
          </c:val>
          <c:smooth val="0"/>
        </c:ser>
        <c:ser>
          <c:idx val="1"/>
          <c:order val="1"/>
          <c:tx>
            <c:strRef>
              <c:f>Sheet1!$D$61</c:f>
              <c:strCache>
                <c:ptCount val="1"/>
                <c:pt idx="0">
                  <c:v>insettingssortering</c:v>
                </c:pt>
              </c:strCache>
            </c:strRef>
          </c:tx>
          <c:cat>
            <c:numRef>
              <c:f>Sheet1!$A$62:$A$68</c:f>
              <c:numCache>
                <c:formatCode>General</c:formatCode>
                <c:ptCount val="7"/>
                <c:pt idx="0">
                  <c:v>10.0</c:v>
                </c:pt>
                <c:pt idx="1">
                  <c:v>100.0</c:v>
                </c:pt>
                <c:pt idx="2">
                  <c:v>1000.0</c:v>
                </c:pt>
                <c:pt idx="3">
                  <c:v>10000.0</c:v>
                </c:pt>
                <c:pt idx="4">
                  <c:v>100000.0</c:v>
                </c:pt>
                <c:pt idx="5">
                  <c:v>500000.0</c:v>
                </c:pt>
                <c:pt idx="6">
                  <c:v>1.0E6</c:v>
                </c:pt>
              </c:numCache>
            </c:numRef>
          </c:cat>
          <c:val>
            <c:numRef>
              <c:f>Sheet1!$D$62:$D$68</c:f>
              <c:numCache>
                <c:formatCode>General</c:formatCode>
                <c:ptCount val="7"/>
                <c:pt idx="0">
                  <c:v>0.004</c:v>
                </c:pt>
                <c:pt idx="1">
                  <c:v>0.126</c:v>
                </c:pt>
                <c:pt idx="2">
                  <c:v>6.74</c:v>
                </c:pt>
                <c:pt idx="3">
                  <c:v>52.724</c:v>
                </c:pt>
                <c:pt idx="4">
                  <c:v>2133.0</c:v>
                </c:pt>
                <c:pt idx="5">
                  <c:v>53456.0</c:v>
                </c:pt>
                <c:pt idx="6">
                  <c:v>216276.0</c:v>
                </c:pt>
              </c:numCache>
            </c:numRef>
          </c:val>
          <c:smooth val="0"/>
        </c:ser>
        <c:dLbls>
          <c:showLegendKey val="0"/>
          <c:showVal val="0"/>
          <c:showCatName val="0"/>
          <c:showSerName val="0"/>
          <c:showPercent val="0"/>
          <c:showBubbleSize val="0"/>
        </c:dLbls>
        <c:marker val="1"/>
        <c:smooth val="0"/>
        <c:axId val="-2114188360"/>
        <c:axId val="-2114182888"/>
      </c:lineChart>
      <c:catAx>
        <c:axId val="-2114188360"/>
        <c:scaling>
          <c:orientation val="minMax"/>
        </c:scaling>
        <c:delete val="0"/>
        <c:axPos val="b"/>
        <c:title>
          <c:tx>
            <c:rich>
              <a:bodyPr/>
              <a:lstStyle/>
              <a:p>
                <a:pPr>
                  <a:defRPr>
                    <a:latin typeface="Arial"/>
                    <a:cs typeface="Arial"/>
                  </a:defRPr>
                </a:pPr>
                <a:r>
                  <a:rPr lang="en-US">
                    <a:latin typeface="Arial"/>
                    <a:cs typeface="Arial"/>
                  </a:rPr>
                  <a:t>Input</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2114182888"/>
        <c:crosses val="autoZero"/>
        <c:auto val="1"/>
        <c:lblAlgn val="ctr"/>
        <c:lblOffset val="100"/>
        <c:noMultiLvlLbl val="0"/>
      </c:catAx>
      <c:valAx>
        <c:axId val="-2114182888"/>
        <c:scaling>
          <c:orientation val="minMax"/>
        </c:scaling>
        <c:delete val="0"/>
        <c:axPos val="l"/>
        <c:majorGridlines/>
        <c:title>
          <c:tx>
            <c:rich>
              <a:bodyPr rot="0" vert="horz"/>
              <a:lstStyle/>
              <a:p>
                <a:pPr>
                  <a:defRPr>
                    <a:latin typeface="Arial"/>
                    <a:cs typeface="Arial"/>
                  </a:defRPr>
                </a:pPr>
                <a:r>
                  <a:rPr lang="en-US">
                    <a:latin typeface="Arial"/>
                    <a:cs typeface="Arial"/>
                  </a:rPr>
                  <a:t>Kjøretid</a:t>
                </a:r>
                <a:r>
                  <a:rPr lang="en-US" baseline="0">
                    <a:latin typeface="Arial"/>
                    <a:cs typeface="Arial"/>
                  </a:rPr>
                  <a:t> i ms</a:t>
                </a:r>
                <a:endParaRPr lang="en-US">
                  <a:latin typeface="Arial"/>
                  <a:cs typeface="Arial"/>
                </a:endParaRP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2114188360"/>
        <c:crosses val="autoZero"/>
        <c:crossBetween val="between"/>
      </c:valAx>
    </c:plotArea>
    <c:legend>
      <c:legendPos val="r"/>
      <c:layout/>
      <c:overlay val="0"/>
      <c:txPr>
        <a:bodyPr/>
        <a:lstStyle/>
        <a:p>
          <a:pPr>
            <a:defRPr>
              <a:latin typeface="Arial"/>
              <a:cs typeface="Arial"/>
            </a:defRPr>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latin typeface="Arial"/>
                <a:cs typeface="Arial"/>
              </a:defRPr>
            </a:pPr>
            <a:r>
              <a:rPr lang="en-US">
                <a:latin typeface="Arial"/>
                <a:cs typeface="Arial"/>
              </a:rPr>
              <a:t>Kjøretid</a:t>
            </a:r>
            <a:r>
              <a:rPr lang="en-US" baseline="0">
                <a:latin typeface="Arial"/>
                <a:cs typeface="Arial"/>
              </a:rPr>
              <a:t> for radixSort</a:t>
            </a:r>
            <a:endParaRPr lang="en-US">
              <a:latin typeface="Arial"/>
              <a:cs typeface="Arial"/>
            </a:endParaRPr>
          </a:p>
        </c:rich>
      </c:tx>
      <c:layout/>
      <c:overlay val="0"/>
    </c:title>
    <c:autoTitleDeleted val="0"/>
    <c:plotArea>
      <c:layout/>
      <c:lineChart>
        <c:grouping val="standard"/>
        <c:varyColors val="0"/>
        <c:ser>
          <c:idx val="0"/>
          <c:order val="0"/>
          <c:tx>
            <c:strRef>
              <c:f>Sheet1!$B$4</c:f>
              <c:strCache>
                <c:ptCount val="1"/>
                <c:pt idx="0">
                  <c:v>R=8</c:v>
                </c:pt>
              </c:strCache>
            </c:strRef>
          </c:tx>
          <c:cat>
            <c:numRef>
              <c:f>Sheet1!$A$5:$A$11</c:f>
              <c:numCache>
                <c:formatCode>General</c:formatCode>
                <c:ptCount val="7"/>
                <c:pt idx="0">
                  <c:v>10.0</c:v>
                </c:pt>
                <c:pt idx="1">
                  <c:v>100.0</c:v>
                </c:pt>
                <c:pt idx="2">
                  <c:v>1000.0</c:v>
                </c:pt>
                <c:pt idx="3">
                  <c:v>10000.0</c:v>
                </c:pt>
                <c:pt idx="4">
                  <c:v>100000.0</c:v>
                </c:pt>
                <c:pt idx="5">
                  <c:v>500000.0</c:v>
                </c:pt>
                <c:pt idx="6">
                  <c:v>1.0E6</c:v>
                </c:pt>
              </c:numCache>
            </c:numRef>
          </c:cat>
          <c:val>
            <c:numRef>
              <c:f>Sheet1!$B$5:$B$11</c:f>
              <c:numCache>
                <c:formatCode>General</c:formatCode>
                <c:ptCount val="7"/>
                <c:pt idx="0">
                  <c:v>0.041</c:v>
                </c:pt>
                <c:pt idx="1">
                  <c:v>0.098</c:v>
                </c:pt>
                <c:pt idx="2">
                  <c:v>0.354</c:v>
                </c:pt>
                <c:pt idx="3">
                  <c:v>3.153</c:v>
                </c:pt>
                <c:pt idx="4">
                  <c:v>7.697</c:v>
                </c:pt>
                <c:pt idx="5">
                  <c:v>26.658</c:v>
                </c:pt>
                <c:pt idx="6">
                  <c:v>47.469</c:v>
                </c:pt>
              </c:numCache>
            </c:numRef>
          </c:val>
          <c:smooth val="0"/>
        </c:ser>
        <c:ser>
          <c:idx val="1"/>
          <c:order val="1"/>
          <c:tx>
            <c:strRef>
              <c:f>Sheet1!$C$4</c:f>
              <c:strCache>
                <c:ptCount val="1"/>
                <c:pt idx="0">
                  <c:v>R=16</c:v>
                </c:pt>
              </c:strCache>
            </c:strRef>
          </c:tx>
          <c:cat>
            <c:numRef>
              <c:f>Sheet1!$A$5:$A$11</c:f>
              <c:numCache>
                <c:formatCode>General</c:formatCode>
                <c:ptCount val="7"/>
                <c:pt idx="0">
                  <c:v>10.0</c:v>
                </c:pt>
                <c:pt idx="1">
                  <c:v>100.0</c:v>
                </c:pt>
                <c:pt idx="2">
                  <c:v>1000.0</c:v>
                </c:pt>
                <c:pt idx="3">
                  <c:v>10000.0</c:v>
                </c:pt>
                <c:pt idx="4">
                  <c:v>100000.0</c:v>
                </c:pt>
                <c:pt idx="5">
                  <c:v>500000.0</c:v>
                </c:pt>
                <c:pt idx="6">
                  <c:v>1.0E6</c:v>
                </c:pt>
              </c:numCache>
            </c:numRef>
          </c:cat>
          <c:val>
            <c:numRef>
              <c:f>Sheet1!$C$5:$C$11</c:f>
              <c:numCache>
                <c:formatCode>General</c:formatCode>
                <c:ptCount val="7"/>
                <c:pt idx="0">
                  <c:v>0.002</c:v>
                </c:pt>
                <c:pt idx="1">
                  <c:v>2.593</c:v>
                </c:pt>
                <c:pt idx="2">
                  <c:v>4.214</c:v>
                </c:pt>
                <c:pt idx="3">
                  <c:v>3.383</c:v>
                </c:pt>
                <c:pt idx="4">
                  <c:v>6.437</c:v>
                </c:pt>
                <c:pt idx="5">
                  <c:v>20.152</c:v>
                </c:pt>
                <c:pt idx="6">
                  <c:v>34.812</c:v>
                </c:pt>
              </c:numCache>
            </c:numRef>
          </c:val>
          <c:smooth val="0"/>
        </c:ser>
        <c:ser>
          <c:idx val="2"/>
          <c:order val="2"/>
          <c:tx>
            <c:strRef>
              <c:f>Sheet1!$D$4</c:f>
              <c:strCache>
                <c:ptCount val="1"/>
                <c:pt idx="0">
                  <c:v>R=32</c:v>
                </c:pt>
              </c:strCache>
            </c:strRef>
          </c:tx>
          <c:cat>
            <c:numRef>
              <c:f>Sheet1!$A$5:$A$11</c:f>
              <c:numCache>
                <c:formatCode>General</c:formatCode>
                <c:ptCount val="7"/>
                <c:pt idx="0">
                  <c:v>10.0</c:v>
                </c:pt>
                <c:pt idx="1">
                  <c:v>100.0</c:v>
                </c:pt>
                <c:pt idx="2">
                  <c:v>1000.0</c:v>
                </c:pt>
                <c:pt idx="3">
                  <c:v>10000.0</c:v>
                </c:pt>
                <c:pt idx="4">
                  <c:v>100000.0</c:v>
                </c:pt>
                <c:pt idx="5">
                  <c:v>500000.0</c:v>
                </c:pt>
                <c:pt idx="6">
                  <c:v>1.0E6</c:v>
                </c:pt>
              </c:numCache>
            </c:numRef>
          </c:cat>
          <c:val>
            <c:numRef>
              <c:f>Sheet1!$D$5:$D$11</c:f>
              <c:numCache>
                <c:formatCode>General</c:formatCode>
                <c:ptCount val="7"/>
                <c:pt idx="0">
                  <c:v>0.014</c:v>
                </c:pt>
                <c:pt idx="1">
                  <c:v>0.013</c:v>
                </c:pt>
                <c:pt idx="2">
                  <c:v>0.086</c:v>
                </c:pt>
                <c:pt idx="3">
                  <c:v>0.822</c:v>
                </c:pt>
                <c:pt idx="4">
                  <c:v>3.77</c:v>
                </c:pt>
                <c:pt idx="5">
                  <c:v>8.692</c:v>
                </c:pt>
                <c:pt idx="6">
                  <c:v>16.566</c:v>
                </c:pt>
              </c:numCache>
            </c:numRef>
          </c:val>
          <c:smooth val="0"/>
        </c:ser>
        <c:dLbls>
          <c:showLegendKey val="0"/>
          <c:showVal val="0"/>
          <c:showCatName val="0"/>
          <c:showSerName val="0"/>
          <c:showPercent val="0"/>
          <c:showBubbleSize val="0"/>
        </c:dLbls>
        <c:marker val="1"/>
        <c:smooth val="0"/>
        <c:axId val="-2122739864"/>
        <c:axId val="-2123402136"/>
      </c:lineChart>
      <c:catAx>
        <c:axId val="-2122739864"/>
        <c:scaling>
          <c:orientation val="minMax"/>
        </c:scaling>
        <c:delete val="0"/>
        <c:axPos val="b"/>
        <c:title>
          <c:tx>
            <c:rich>
              <a:bodyPr/>
              <a:lstStyle/>
              <a:p>
                <a:pPr>
                  <a:defRPr>
                    <a:latin typeface="Arial"/>
                    <a:cs typeface="Arial"/>
                  </a:defRPr>
                </a:pPr>
                <a:r>
                  <a:rPr lang="en-US">
                    <a:latin typeface="Arial"/>
                    <a:cs typeface="Arial"/>
                  </a:rPr>
                  <a:t>Inputstørrelse</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2123402136"/>
        <c:crosses val="autoZero"/>
        <c:auto val="1"/>
        <c:lblAlgn val="ctr"/>
        <c:lblOffset val="100"/>
        <c:noMultiLvlLbl val="0"/>
      </c:catAx>
      <c:valAx>
        <c:axId val="-2123402136"/>
        <c:scaling>
          <c:orientation val="minMax"/>
        </c:scaling>
        <c:delete val="0"/>
        <c:axPos val="l"/>
        <c:majorGridlines/>
        <c:title>
          <c:tx>
            <c:rich>
              <a:bodyPr rot="0" vert="horz"/>
              <a:lstStyle/>
              <a:p>
                <a:pPr>
                  <a:defRPr>
                    <a:latin typeface="Arial"/>
                    <a:cs typeface="Arial"/>
                  </a:defRPr>
                </a:pPr>
                <a:r>
                  <a:rPr lang="en-US">
                    <a:latin typeface="Arial"/>
                    <a:cs typeface="Arial"/>
                  </a:rPr>
                  <a:t>Kjøretid</a:t>
                </a:r>
                <a:r>
                  <a:rPr lang="en-US" baseline="0">
                    <a:latin typeface="Arial"/>
                    <a:cs typeface="Arial"/>
                  </a:rPr>
                  <a:t> i ms</a:t>
                </a:r>
                <a:endParaRPr lang="en-US">
                  <a:latin typeface="Arial"/>
                  <a:cs typeface="Arial"/>
                </a:endParaRP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2122739864"/>
        <c:crosses val="autoZero"/>
        <c:crossBetween val="between"/>
      </c:valAx>
    </c:plotArea>
    <c:legend>
      <c:legendPos val="r"/>
      <c:layout/>
      <c:overlay val="0"/>
      <c:txPr>
        <a:bodyPr/>
        <a:lstStyle/>
        <a:p>
          <a:pPr>
            <a:defRPr>
              <a:latin typeface="Arial"/>
              <a:cs typeface="Arial"/>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882</Words>
  <Characters>5033</Characters>
  <Application>Microsoft Macintosh Word</Application>
  <DocSecurity>0</DocSecurity>
  <Lines>41</Lines>
  <Paragraphs>11</Paragraphs>
  <ScaleCrop>false</ScaleCrop>
  <Company/>
  <LinksUpToDate>false</LinksUpToDate>
  <CharactersWithSpaces>5904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Bolt-Evensen</dc:creator>
  <cp:keywords/>
  <dc:description/>
  <cp:lastModifiedBy>Anders Bolt-Evensen</cp:lastModifiedBy>
  <cp:revision>2</cp:revision>
  <dcterms:created xsi:type="dcterms:W3CDTF">2015-02-24T08:08:00Z</dcterms:created>
  <dcterms:modified xsi:type="dcterms:W3CDTF">2015-02-24T09:53:00Z</dcterms:modified>
</cp:coreProperties>
</file>