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jc w:val="center"/>
      </w:pPr>
      <w:r>
        <w:rPr>
          <w:rFonts w:ascii="Arial" w:cs="Arial" w:eastAsia="Arial" w:hAnsi="Arial"/>
        </w:rPr>
        <w:t xml:space="preserve">Exempelsvar — så här kan det se ut</w:t>
      </w:r>
    </w:p>
    <w:p>
      <w:pPr>
        <w:spacing w:after="100"/>
        <w:jc w:val="center"/>
      </w:pPr>
      <w:r>
        <w:rPr>
          <w:rFonts w:ascii="Arial" w:cs="Arial" w:eastAsia="Arial" w:hAnsi="Arial"/>
          <w:color w:val="6B7B8D"/>
          <w:sz w:val="20"/>
          <w:szCs w:val="20"/>
        </w:rPr>
        <w:t xml:space="preserve">Ungas ekonomi — Lektion 5 — Lärarens modelleringsmaterial</w:t>
      </w:r>
    </w:p>
    <w:p>
      <w:pPr>
        <w:spacing w:after="200"/>
      </w:pPr>
      <w:r>
        <w:rPr>
          <w:rFonts w:ascii="Arial" w:cs="Arial" w:eastAsia="Arial" w:hAnsi="Arial"/>
          <w:b/>
          <w:bCs/>
          <w:sz w:val="22"/>
          <w:szCs w:val="22"/>
        </w:rPr>
        <w:t xml:space="preserve">Uppgift: </w:t>
      </w:r>
      <w:r>
        <w:rPr>
          <w:rFonts w:ascii="Arial" w:cs="Arial" w:eastAsia="Arial" w:hAnsi="Arial"/>
          <w:sz w:val="22"/>
          <w:szCs w:val="22"/>
        </w:rPr>
        <w:t xml:space="preserve">“Utgå från Alex situation. Redogör för det ekonomiska kretsloppet och resonera om hur ungas ekonomiska situation — på arbetsmarknaden och i privatekonomin — påverkar och påverkas av samhällsekonomin.”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D32" w:sz="8"/>
              <w:left w:val="single" w:color="D0D5DD" w:sz="1"/>
              <w:bottom w:val="single" w:color="D0D5DD" w:sz="1"/>
              <w:right w:val="single" w:color="D0D5DD" w:sz="1"/>
            </w:tcBorders>
            <w:shd w:fill="F1F8E9" w:val="clear"/>
            <w:tcMar>
              <w:top w:type="dxa" w:w="200"/>
              <w:left w:type="dxa" w:w="300"/>
              <w:bottom w:type="dxa" w:w="200"/>
              <w:right w:type="dxa" w:w="300"/>
            </w:tcMar>
          </w:tcPr>
          <w:p>
            <w:pPr>
              <w:spacing w:after="60"/>
            </w:pPr>
            <w:r>
              <w:rPr>
                <w:rFonts w:ascii="Arial" w:cs="Arial" w:eastAsia="Arial" w:hAnsi="Arial"/>
                <w:b/>
                <w:bCs/>
                <w:caps/>
                <w:color w:val="2E7D32"/>
                <w:sz w:val="18"/>
                <w:szCs w:val="18"/>
              </w:rPr>
              <w:t xml:space="preserve">A-nivå</w:t>
            </w:r>
          </w:p>
          <w:p>
            <w:pPr>
              <w:spacing w:after="160"/>
            </w:pPr>
            <w:r>
              <w:rPr>
                <w:rFonts w:ascii="Arial" w:cs="Arial" w:eastAsia="Arial" w:hAnsi="Arial"/>
                <w:b/>
                <w:bCs/>
                <w:color w:val="1A2A3A"/>
                <w:sz w:val="26"/>
                <w:szCs w:val="26"/>
              </w:rPr>
              <w:t xml:space="preserve">Exempelsvar</w:t>
            </w:r>
          </w:p>
          <w:p>
            <w:pPr>
              <w:spacing w:after="120"/>
            </w:pPr>
            <w:r>
              <w:rPr>
                <w:rFonts w:ascii="Arial" w:cs="Arial" w:eastAsia="Arial" w:hAnsi="Arial"/>
                <w:sz w:val="22"/>
                <w:szCs w:val="22"/>
              </w:rPr>
              <w:t xml:space="preserve">Det ekonomiska kretsloppet beskriver hur pengar flödar mellan tre huvudaktörer: hushållen, företagen och den offentliga sektorn. När Alex arbetar på lagret bidrar hen till företagets produktion och får lön i utbyte. Från lönen betalar Alex skatt, som finansierar offentliga tjänster som skola, vård och kollektivtrafik. När Alex konsumerar — handlar mat, betalar hyra, köper kläder — flödar pengarna tillbaka till företagen, som i sin tur kan betala löner till sina anställda. Så kretsloppet fortsätter.</w:t>
            </w:r>
          </w:p>
          <w:p>
            <w:pPr>
              <w:spacing w:after="120"/>
            </w:pPr>
            <w:r>
              <w:rPr>
                <w:rFonts w:ascii="Arial" w:cs="Arial" w:eastAsia="Arial" w:hAnsi="Arial"/>
                <w:sz w:val="22"/>
                <w:szCs w:val="22"/>
              </w:rPr>
              <w:t xml:space="preserve">För unga som Alex är arbetsmarknaden ofta osäker. Många får timanställningar eller gig-jobb utan fast lön, vilket gör det svårt att planera ekonomin. Alex har dock en fast anställning, men även då är budgeten tajt: efter skatt och fasta utgifter finns knappt något kvar. Det innebär att oväntade utgifter — som en trasig mobil — kan tvinga Alex att ta lån med hög ränta, vilket skapar en negativ spiral.</w:t>
            </w:r>
          </w:p>
          <w:p>
            <w:pPr>
              <w:spacing w:after="120"/>
            </w:pPr>
            <w:r>
              <w:rPr>
                <w:rFonts w:ascii="Arial" w:cs="Arial" w:eastAsia="Arial" w:hAnsi="Arial"/>
                <w:sz w:val="22"/>
                <w:szCs w:val="22"/>
              </w:rPr>
              <w:t xml:space="preserve">Det här påverkar inte bara Alex. När många unga har låg inkomst konsumerar de mindre, vilket minskar flödet till företagen i kretsloppet. Om unga hamnar i skuldfällan minskar deras skattebetalningar och samhället kan behöva lägga resurser på skuldrådgivning istället för annat. Samtidigt kan man se frågan från ett annat perspektiv: gig-ekonomin ger också unga möjligheter att jobba flexibelt under studietiden, och ökad konsumtion bland unga driver innovation inom t.ex. teknik och digitala tjänster.</w:t>
            </w:r>
          </w:p>
          <w:p>
            <w:pPr>
              <w:spacing w:after="120"/>
            </w:pPr>
            <w:r>
              <w:rPr>
                <w:rFonts w:ascii="Arial" w:cs="Arial" w:eastAsia="Arial" w:hAnsi="Arial"/>
                <w:sz w:val="22"/>
                <w:szCs w:val="22"/>
              </w:rPr>
              <w:t xml:space="preserve">Frågan om vems ansvar det är att förebygga ekonomiska problem bland unga är komplex. Individen behöver kunskap, men samhället behöver också reglera snabblåneföretag och säkerställa att unga får ekonomisk utbildning. Det är ett samspel mellan individ, företag och stat — precis som i kretsloppet.</w:t>
            </w:r>
          </w:p>
          <w:p>
            <w:pPr>
              <w:spacing w:after="80" w:before="200"/>
            </w:pPr>
            <w:r>
              <w:rPr>
                <w:rFonts w:ascii="Arial" w:cs="Arial" w:eastAsia="Arial" w:hAnsi="Arial"/>
                <w:b/>
                <w:bCs/>
                <w:color w:val="028090"/>
                <w:sz w:val="20"/>
                <w:szCs w:val="20"/>
              </w:rPr>
              <w:t xml:space="preserve">Vad gör detta till ett </w:t>
            </w:r>
            <w:r>
              <w:rPr>
                <w:rFonts w:ascii="Arial" w:cs="Arial" w:eastAsia="Arial" w:hAnsi="Arial"/>
                <w:b/>
                <w:bCs/>
                <w:color w:val="028090"/>
                <w:sz w:val="20"/>
                <w:szCs w:val="20"/>
              </w:rPr>
              <w:t xml:space="preserve">A-nivå-svar?</w:t>
            </w:r>
          </w:p>
          <w:p>
            <w:pPr>
              <w:pStyle w:val="ListParagraph"/>
              <w:numPr>
                <w:ilvl w:val="0"/>
                <w:numId w:val="2"/>
              </w:numPr>
              <w:spacing w:after="40"/>
            </w:pPr>
            <w:r>
              <w:rPr>
                <w:rFonts w:ascii="Arial" w:cs="Arial" w:eastAsia="Arial" w:hAnsi="Arial"/>
                <w:sz w:val="20"/>
                <w:szCs w:val="20"/>
              </w:rPr>
              <w:t xml:space="preserve">Redogör utförligt och nyanserat för kretsloppet med konkreta exempel</w:t>
            </w:r>
          </w:p>
          <w:p>
            <w:pPr>
              <w:pStyle w:val="ListParagraph"/>
              <w:numPr>
                <w:ilvl w:val="0"/>
                <w:numId w:val="2"/>
              </w:numPr>
              <w:spacing w:after="40"/>
            </w:pPr>
            <w:r>
              <w:rPr>
                <w:rFonts w:ascii="Arial" w:cs="Arial" w:eastAsia="Arial" w:hAnsi="Arial"/>
                <w:sz w:val="20"/>
                <w:szCs w:val="20"/>
              </w:rPr>
              <w:t xml:space="preserve">Visar på komplexa samband: individens ekonomi ↔ samhällsekonomin</w:t>
            </w:r>
          </w:p>
          <w:p>
            <w:pPr>
              <w:pStyle w:val="ListParagraph"/>
              <w:numPr>
                <w:ilvl w:val="0"/>
                <w:numId w:val="2"/>
              </w:numPr>
              <w:spacing w:after="40"/>
            </w:pPr>
            <w:r>
              <w:rPr>
                <w:rFonts w:ascii="Arial" w:cs="Arial" w:eastAsia="Arial" w:hAnsi="Arial"/>
                <w:sz w:val="20"/>
                <w:szCs w:val="20"/>
              </w:rPr>
              <w:t xml:space="preserve">För välgrundade och nyanserade resonemang ur flera perspektiv (individ, samhälle, företag)</w:t>
            </w:r>
          </w:p>
          <w:p>
            <w:pPr>
              <w:pStyle w:val="ListParagraph"/>
              <w:numPr>
                <w:ilvl w:val="0"/>
                <w:numId w:val="2"/>
              </w:numPr>
              <w:spacing w:after="40"/>
            </w:pPr>
            <w:r>
              <w:rPr>
                <w:rFonts w:ascii="Arial" w:cs="Arial" w:eastAsia="Arial" w:hAnsi="Arial"/>
                <w:sz w:val="20"/>
                <w:szCs w:val="20"/>
              </w:rPr>
              <w:t xml:space="preserve">Problematiserar: gig-ekonomin har både för- och nackdelar</w:t>
            </w:r>
          </w:p>
          <w:p>
            <w:pPr>
              <w:pStyle w:val="ListParagraph"/>
              <w:numPr>
                <w:ilvl w:val="0"/>
                <w:numId w:val="2"/>
              </w:numPr>
              <w:spacing w:after="40"/>
            </w:pPr>
            <w:r>
              <w:rPr>
                <w:rFonts w:ascii="Arial" w:cs="Arial" w:eastAsia="Arial" w:hAnsi="Arial"/>
                <w:sz w:val="20"/>
                <w:szCs w:val="20"/>
              </w:rPr>
              <w:t xml:space="preserve">Kopplar alla tre delområden (kretslopp, arbetsmarknad, privatekonomi) till varandra</w:t>
            </w:r>
          </w:p>
        </w:tc>
      </w:tr>
    </w:tbl>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65100" w:sz="8"/>
              <w:left w:val="single" w:color="D0D5DD" w:sz="1"/>
              <w:bottom w:val="single" w:color="D0D5DD" w:sz="1"/>
              <w:right w:val="single" w:color="D0D5DD" w:sz="1"/>
            </w:tcBorders>
            <w:shd w:fill="FFF3E0" w:val="clear"/>
            <w:tcMar>
              <w:top w:type="dxa" w:w="200"/>
              <w:left w:type="dxa" w:w="300"/>
              <w:bottom w:type="dxa" w:w="200"/>
              <w:right w:type="dxa" w:w="300"/>
            </w:tcMar>
          </w:tcPr>
          <w:p>
            <w:pPr>
              <w:spacing w:after="60"/>
            </w:pPr>
            <w:r>
              <w:rPr>
                <w:rFonts w:ascii="Arial" w:cs="Arial" w:eastAsia="Arial" w:hAnsi="Arial"/>
                <w:b/>
                <w:bCs/>
                <w:caps/>
                <w:color w:val="E65100"/>
                <w:sz w:val="18"/>
                <w:szCs w:val="18"/>
              </w:rPr>
              <w:t xml:space="preserve">E-nivå</w:t>
            </w:r>
          </w:p>
          <w:p>
            <w:pPr>
              <w:spacing w:after="160"/>
            </w:pPr>
            <w:r>
              <w:rPr>
                <w:rFonts w:ascii="Arial" w:cs="Arial" w:eastAsia="Arial" w:hAnsi="Arial"/>
                <w:b/>
                <w:bCs/>
                <w:color w:val="1A2A3A"/>
                <w:sz w:val="26"/>
                <w:szCs w:val="26"/>
              </w:rPr>
              <w:t xml:space="preserve">Exempelsvar</w:t>
            </w:r>
          </w:p>
          <w:p>
            <w:pPr>
              <w:spacing w:after="120"/>
            </w:pPr>
            <w:r>
              <w:rPr>
                <w:rFonts w:ascii="Arial" w:cs="Arial" w:eastAsia="Arial" w:hAnsi="Arial"/>
                <w:sz w:val="22"/>
                <w:szCs w:val="22"/>
              </w:rPr>
              <w:t xml:space="preserve">Det ekonomiska kretsloppet handlar om hur pengar rör sig i samhället. Det finns tre aktörer: hushållen, företagen och den offentliga sektorn. Hushållen arbetar i företagen och får lön. De betalar skatt till staten. När de köper saker går pengarna till företagen.</w:t>
            </w:r>
          </w:p>
          <w:p>
            <w:pPr>
              <w:spacing w:after="120"/>
            </w:pPr>
            <w:r>
              <w:rPr>
                <w:rFonts w:ascii="Arial" w:cs="Arial" w:eastAsia="Arial" w:hAnsi="Arial"/>
                <w:sz w:val="22"/>
                <w:szCs w:val="22"/>
              </w:rPr>
              <w:t xml:space="preserve">Alex har ett jobb på ett lager och tjänar 22 000 kr i månaden. Efter skatt blir det ungefär 17 600 kr. Alex måste betala hyra, mat och andra saker. Det är ganska lite pengar kvar.</w:t>
            </w:r>
          </w:p>
          <w:p>
            <w:pPr>
              <w:spacing w:after="120"/>
            </w:pPr>
            <w:r>
              <w:rPr>
                <w:rFonts w:ascii="Arial" w:cs="Arial" w:eastAsia="Arial" w:hAnsi="Arial"/>
                <w:sz w:val="22"/>
                <w:szCs w:val="22"/>
              </w:rPr>
              <w:t xml:space="preserve">För unga är det ofta svårt på arbetsmarknaden. Många får bara jobb per timme och vet inte hur mycket de tjänar varje månad. Det gör det svårt att planera sin ekonomi.</w:t>
            </w:r>
          </w:p>
          <w:p>
            <w:pPr>
              <w:spacing w:after="80" w:before="200"/>
            </w:pPr>
            <w:r>
              <w:rPr>
                <w:rFonts w:ascii="Arial" w:cs="Arial" w:eastAsia="Arial" w:hAnsi="Arial"/>
                <w:b/>
                <w:bCs/>
                <w:color w:val="028090"/>
                <w:sz w:val="20"/>
                <w:szCs w:val="20"/>
              </w:rPr>
              <w:t xml:space="preserve">Vad gör detta till ett </w:t>
            </w:r>
            <w:r>
              <w:rPr>
                <w:rFonts w:ascii="Arial" w:cs="Arial" w:eastAsia="Arial" w:hAnsi="Arial"/>
                <w:b/>
                <w:bCs/>
                <w:color w:val="028090"/>
                <w:sz w:val="20"/>
                <w:szCs w:val="20"/>
              </w:rPr>
              <w:t xml:space="preserve">E-nivå-svar?</w:t>
            </w:r>
          </w:p>
          <w:p>
            <w:pPr>
              <w:pStyle w:val="ListParagraph"/>
              <w:numPr>
                <w:ilvl w:val="0"/>
                <w:numId w:val="2"/>
              </w:numPr>
              <w:spacing w:after="40"/>
            </w:pPr>
            <w:r>
              <w:rPr>
                <w:rFonts w:ascii="Arial" w:cs="Arial" w:eastAsia="Arial" w:hAnsi="Arial"/>
                <w:sz w:val="20"/>
                <w:szCs w:val="20"/>
              </w:rPr>
              <w:t xml:space="preserve">Redogör översiktligt för kretsloppet — nämner aktörerna och grundflödena</w:t>
            </w:r>
          </w:p>
          <w:p>
            <w:pPr>
              <w:pStyle w:val="ListParagraph"/>
              <w:numPr>
                <w:ilvl w:val="0"/>
                <w:numId w:val="2"/>
              </w:numPr>
              <w:spacing w:after="40"/>
            </w:pPr>
            <w:r>
              <w:rPr>
                <w:rFonts w:ascii="Arial" w:cs="Arial" w:eastAsia="Arial" w:hAnsi="Arial"/>
                <w:sz w:val="20"/>
                <w:szCs w:val="20"/>
              </w:rPr>
              <w:t xml:space="preserve">För enkla resonemang om arbetsmarknaden och privatekonomin</w:t>
            </w:r>
          </w:p>
          <w:p>
            <w:pPr>
              <w:pStyle w:val="ListParagraph"/>
              <w:numPr>
                <w:ilvl w:val="0"/>
                <w:numId w:val="2"/>
              </w:numPr>
              <w:spacing w:after="40"/>
            </w:pPr>
            <w:r>
              <w:rPr>
                <w:rFonts w:ascii="Arial" w:cs="Arial" w:eastAsia="Arial" w:hAnsi="Arial"/>
                <w:sz w:val="20"/>
                <w:szCs w:val="20"/>
              </w:rPr>
              <w:t xml:space="preserve">Visar på enkla samband (lön → skatt → utgifter)</w:t>
            </w:r>
          </w:p>
          <w:p>
            <w:pPr>
              <w:pStyle w:val="ListParagraph"/>
              <w:numPr>
                <w:ilvl w:val="0"/>
                <w:numId w:val="2"/>
              </w:numPr>
              <w:spacing w:after="40"/>
            </w:pPr>
            <w:r>
              <w:rPr>
                <w:rFonts w:ascii="Arial" w:cs="Arial" w:eastAsia="Arial" w:hAnsi="Arial"/>
                <w:sz w:val="20"/>
                <w:szCs w:val="20"/>
              </w:rPr>
              <w:t xml:space="preserve">Saknar: komplexa kopplingar, flera perspektiv, problematisering</w:t>
            </w:r>
          </w:p>
          <w:p>
            <w:pPr>
              <w:pStyle w:val="ListParagraph"/>
              <w:numPr>
                <w:ilvl w:val="0"/>
                <w:numId w:val="2"/>
              </w:numPr>
              <w:spacing w:after="40"/>
            </w:pPr>
            <w:r>
              <w:rPr>
                <w:rFonts w:ascii="Arial" w:cs="Arial" w:eastAsia="Arial" w:hAnsi="Arial"/>
                <w:sz w:val="20"/>
                <w:szCs w:val="20"/>
              </w:rPr>
              <w:t xml:space="preserve">Saknar: koppling mellan individens ekonomi och samhällsekonomin i stort</w:t>
            </w:r>
          </w:p>
        </w:tc>
      </w:tr>
    </w:tbl>
    <w:p>
      <w:pPr>
        <w:spacing w:before="400"/>
      </w:pPr>
    </w:p>
    <w:p>
      <w:pPr>
        <w:pStyle w:val="Heading2"/>
      </w:pPr>
      <w:r>
        <w:rPr>
          <w:rFonts w:ascii="Arial" w:cs="Arial" w:eastAsia="Arial" w:hAnsi="Arial"/>
        </w:rPr>
        <w:t xml:space="preserve">Använd så här i klassrummet</w:t>
      </w:r>
    </w:p>
    <w:p>
      <w:pPr>
        <w:pStyle w:val="ListParagraph"/>
        <w:numPr>
          <w:ilvl w:val="0"/>
          <w:numId w:val="2"/>
        </w:numPr>
        <w:spacing w:after="60"/>
      </w:pPr>
      <w:r>
        <w:rPr>
          <w:rFonts w:ascii="Arial" w:cs="Arial" w:eastAsia="Arial" w:hAnsi="Arial"/>
          <w:sz w:val="22"/>
          <w:szCs w:val="22"/>
        </w:rPr>
        <w:t xml:space="preserve">Visa A-svaret först. Fråga eleverna: “Vad gör detta till ett bra svar? Vilka kopplingar ser ni?”</w:t>
      </w:r>
    </w:p>
    <w:p>
      <w:pPr>
        <w:pStyle w:val="ListParagraph"/>
        <w:numPr>
          <w:ilvl w:val="0"/>
          <w:numId w:val="2"/>
        </w:numPr>
        <w:spacing w:after="60"/>
      </w:pPr>
      <w:r>
        <w:rPr>
          <w:rFonts w:ascii="Arial" w:cs="Arial" w:eastAsia="Arial" w:hAnsi="Arial"/>
          <w:sz w:val="22"/>
          <w:szCs w:val="22"/>
        </w:rPr>
        <w:t xml:space="preserve">Visa sedan E-svaret. Fråga: “Vad saknas här jämfört med A-svaret?”</w:t>
      </w:r>
    </w:p>
    <w:p>
      <w:pPr>
        <w:pStyle w:val="ListParagraph"/>
        <w:numPr>
          <w:ilvl w:val="0"/>
          <w:numId w:val="2"/>
        </w:numPr>
        <w:spacing w:after="60"/>
      </w:pPr>
      <w:r>
        <w:rPr>
          <w:rFonts w:ascii="Arial" w:cs="Arial" w:eastAsia="Arial" w:hAnsi="Arial"/>
          <w:sz w:val="22"/>
          <w:szCs w:val="22"/>
        </w:rPr>
        <w:t xml:space="preserve">Sammanfatta: skillnaden ligger i djupet, kopplingarna och perspektiven — inte i längden.</w:t>
      </w:r>
    </w:p>
    <w:p>
      <w:pPr>
        <w:pStyle w:val="ListParagraph"/>
        <w:numPr>
          <w:ilvl w:val="0"/>
          <w:numId w:val="2"/>
        </w:numPr>
      </w:pPr>
      <w:r>
        <w:rPr>
          <w:rFonts w:ascii="Arial" w:cs="Arial" w:eastAsia="Arial" w:hAnsi="Arial"/>
          <w:sz w:val="22"/>
          <w:szCs w:val="22"/>
        </w:rPr>
        <w:t xml:space="preserve">Låt eleverna skriva sitt eget svar med båda exemplen som referens.</w:t>
      </w:r>
    </w:p>
    <w:sectPr>
      <w:pgSz w:w="11906" w:h="16838"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120"/>
      <w:outlineLvl w:val="0"/>
    </w:pPr>
    <w:rPr>
      <w:rFonts w:ascii="Arial" w:cs="Arial" w:eastAsia="Arial" w:hAnsi="Arial"/>
      <w:b/>
      <w:bCs/>
      <w:color w:val="028090"/>
      <w:sz w:val="36"/>
      <w:szCs w:val="36"/>
    </w:rPr>
  </w:style>
  <w:style w:type="paragraph" w:styleId="Heading2">
    <w:name w:val="Heading 2"/>
    <w:basedOn w:val="Normal"/>
    <w:next w:val="Normal"/>
    <w:qFormat/>
    <w:pPr>
      <w:spacing w:after="120" w:before="200"/>
      <w:outlineLvl w:val="1"/>
    </w:pPr>
    <w:rPr>
      <w:rFonts w:ascii="Arial" w:cs="Arial" w:eastAsia="Arial" w:hAnsi="Arial"/>
      <w:b/>
      <w:bCs/>
      <w:color w:val="1A2A3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2026-03-02T18:24:13.470Z</dcterms:created>
  <dcterms:modified xsi:type="dcterms:W3CDTF">2026-03-02T18:24:13.470Z</dcterms:modified>
</cp:coreProperties>
</file>

<file path=docProps/custom.xml><?xml version="1.0" encoding="utf-8"?>
<Properties xmlns="http://schemas.openxmlformats.org/officeDocument/2006/custom-properties" xmlns:vt="http://schemas.openxmlformats.org/officeDocument/2006/docPropsVTypes"/>
</file>