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3: "Räcker pengarna?" — Privatekonomi och budget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Kurs: Samhällskunskap 1a1 | Moment: Ungas ekonomi | Längd: 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3: Resonera om privatekonomiska val och deras konsekvenser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om privatekonomiska grunder (brutto/netto, skatt, fasta/rörliga utgifter)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de tre livsstilsbeskrivningarna med utgiftsposter — två per 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Miniwhiteboard eller papper för uträkningar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"Vilka tre anställningsformer pratade vi om förra gången? Nämn en fördel och en nackdel med varje."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Privatekonomi-grunder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Bruttolön vs. nettolön, skatt, arbetsgivaravgift. Fasta vs. rörliga utgifter. Sparande och buffertsparande. Visa konkret: Alex får 22 000 kr i bruttolön — hur mycket blir kvar?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18–50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 livsstilar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par: budgetera för TVÅ av tre livsstilar. Jämför och argumentera: vilken är smartast — och för vem?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50–57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 — ansvarsfrågan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"Är det Alex eget fel om hen hamnar i ekonomiska problem — eller handlar det om vilken lön arbetsmarknaden erbjuder unga?"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Koppling framåt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gång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"Nästa gång ställer vi Alex inför svåra val — vad händer när oväntade utgifter dyker upp?"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Alex tre livsstilar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nettoinkomst: ca 17 600 kr/mån. Tre möjliga sätt att leva: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"Sparsam Alex"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Delar lägenhet med en kompis (4 200 kr var)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Lagar all mat hemma (2 800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Ingen prenumeration, inget gym, begränsat nöjesliv (500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Sparar 2 500 kr/mån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"Här-och-nu-Alex"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Egen etta (7 500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Äter ute 2–3 ggr/vecka (4 500 kr mat totalt)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Gym (399 kr), Spotify+streaming (250 kr), kläder (800 kr), nöje/uteliv (1 500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Sparar 0 kr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"Investerar-Alex"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Delar lägenhet (4 200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Snålar på nöje (300 kr), lagar mat hemma (2 800 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Lägger 3 000 kr/mån på körkort + sparar till utlandsstudier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Lever stramt nu för framtida möjligheter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Gemensamma fasta utgifter: telefon (399 kr), hemförsäkring (150 kr), kollektivtrafik (950 kr), el (300–500 kr).</w:t>
      </w:r>
    </w:p>
    <w:p>
      <w:pPr>
        <w:pStyle w:val="Heading2"/>
      </w:pPr>
      <w: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</w:t>
      </w:r>
      <w:r>
        <w:rPr>
          <w:rFonts w:ascii="Arial" w:cs="Arial" w:eastAsia="Arial" w:hAnsi="Arial"/>
          <w:sz w:val="24"/>
          <w:szCs w:val="24"/>
        </w:rPr>
        <w:t xml:space="preserve"> Retrieval practice från lektion 2. Koppla anställningsformer till inkomst.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</w:t>
      </w:r>
      <w:r>
        <w:rPr>
          <w:rFonts w:ascii="Arial" w:cs="Arial" w:eastAsia="Arial" w:hAnsi="Arial"/>
          <w:sz w:val="24"/>
          <w:szCs w:val="24"/>
        </w:rPr>
        <w:t xml:space="preserve"> Räkna konkret på tavlan: 22 000 brutto → ca 17 600 netto. Koppla till kretsloppet.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</w:t>
      </w:r>
      <w:r>
        <w:rPr>
          <w:rFonts w:ascii="Arial" w:cs="Arial" w:eastAsia="Arial" w:hAnsi="Arial"/>
          <w:sz w:val="24"/>
          <w:szCs w:val="24"/>
        </w:rPr>
        <w:t xml:space="preserve"> Pusha jämförelsen: Vad offrar Sparsam Alex som Här-och-nu-Alex får? Se till att paren argumenterar, inte bara räknar.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</w:t>
      </w:r>
      <w:r>
        <w:rPr>
          <w:rFonts w:ascii="Arial" w:cs="Arial" w:eastAsia="Arial" w:hAnsi="Arial"/>
          <w:sz w:val="24"/>
          <w:szCs w:val="24"/>
        </w:rPr>
        <w:t xml:space="preserve"> EPA-frågan är medvetet polariserande. Lyft att det finns strukturella begränsningar OCH individuella val.</w:t>
      </w:r>
    </w:p>
    <w:p>
      <w:pPr>
        <w:pStyle w:val="Heading2"/>
      </w:pPr>
      <w: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</w:t>
      </w:r>
      <w:r>
        <w:rPr>
          <w:rFonts w:ascii="Arial" w:cs="Arial" w:eastAsia="Arial" w:hAnsi="Arial"/>
          <w:sz w:val="24"/>
          <w:szCs w:val="24"/>
        </w:rPr>
        <w:t xml:space="preserve"> "Räkna ihop alla fasta utgifter först. Hur mycket blir kvar? Jämför de två livsstilarna — vilken ger mest pengar över?"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</w:t>
      </w:r>
      <w:r>
        <w:rPr>
          <w:rFonts w:ascii="Arial" w:cs="Arial" w:eastAsia="Arial" w:hAnsi="Arial"/>
          <w:sz w:val="24"/>
          <w:szCs w:val="24"/>
        </w:rPr>
        <w:t xml:space="preserve"> "Vad händer om Alex bara jobbar halvtid? Vilka samhällseffekter får det om en hel generation unga lever som Sparsam Alex — vad händer med konsumtionen och kretsloppet?"</w:t>
      </w:r>
    </w:p>
    <w:p>
      <w:pPr>
        <w:pStyle w:val="Heading2"/>
      </w:pPr>
      <w: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</w:t>
      </w:r>
      <w:r>
        <w:rPr>
          <w:rFonts w:ascii="Arial" w:cs="Arial" w:eastAsia="Arial" w:hAnsi="Arial"/>
          <w:sz w:val="24"/>
          <w:szCs w:val="24"/>
        </w:rPr>
        <w:t xml:space="preserve"> Redogöra översiktligt för privatekonomiska begrepp och göra en enkel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</w:t>
      </w:r>
      <w:r>
        <w:rPr>
          <w:rFonts w:ascii="Arial" w:cs="Arial" w:eastAsia="Arial" w:hAnsi="Arial"/>
          <w:sz w:val="24"/>
          <w:szCs w:val="24"/>
        </w:rPr>
        <w:t xml:space="preserve"> Redogöra utförligt och resonera välgrundat om konsekvenser av olika prioriteringar.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</w:t>
      </w:r>
      <w:r>
        <w:rPr>
          <w:rFonts w:ascii="Arial" w:cs="Arial" w:eastAsia="Arial" w:hAnsi="Arial"/>
          <w:sz w:val="24"/>
          <w:szCs w:val="24"/>
        </w:rPr>
        <w:t xml:space="preserve"> Resonera välgrundat och nyanserat om privatekonomiska val, koppla till komplexa samband i samhällsekonomin.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Samhällskunskap 1a1 — Ungas ekonomi</w:t>
    </w:r>
    <w:r>
      <w:rPr>
        <w:rFonts w:ascii="Arial" w:cs="Arial" w:eastAsia="Arial" w:hAnsi="Arial"/>
        <w:color w:val="999999"/>
        <w:sz w:val="18"/>
        <w:szCs w:val="18"/>
      </w:rPr>
      <w:t xml:space="preserve">	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2026-03-03T18:39:19.567Z</dcterms:created>
  <dcterms:modified xsi:type="dcterms:W3CDTF">2026-03-03T18:39:19.567Z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