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aramond" w:cs="Garamond" w:eastAsia="Garamond" w:hAnsi="Garamond"/>
          <w:sz w:val="44"/>
          <w:szCs w:val="44"/>
        </w:rPr>
        <w:t xml:space="preserve">Snabbträning — </w:t>
      </w:r>
      <w:r>
        <w:rPr>
          <w:rFonts w:ascii="Garamond" w:cs="Garamond" w:eastAsia="Garamond" w:hAnsi="Garamond"/>
          <w:i/>
          <w:iCs/>
          <w:sz w:val="44"/>
          <w:szCs w:val="44"/>
        </w:rPr>
        <w:t xml:space="preserve">aktör eller struktur?</w:t>
      </w:r>
    </w:p>
    <w:p>
      <w:pPr>
        <w:spacing w:after="60" w:before="0"/>
      </w:pPr>
      <w:r>
        <w:rPr>
          <w:rFonts w:ascii="Calibri" w:cs="Calibri" w:eastAsia="Calibri" w:hAnsi="Calibri"/>
          <w:color w:val="4A3F33"/>
          <w:sz w:val="22"/>
          <w:szCs w:val="22"/>
        </w:rPr>
        <w:t xml:space="preserve">Historia 1b (Mek24b) · 1914–1945 genom aktör- och strukturperspektivet</w:t>
      </w:r>
    </w:p>
    <w:p>
      <w:pPr>
        <w:spacing w:after="240"/>
      </w:pPr>
      <w:r>
        <w:rPr>
          <w:rFonts w:ascii="Calibri" w:cs="Calibri" w:eastAsia="Calibri" w:hAnsi="Calibri"/>
          <w:color w:val="4A3F33"/>
          <w:sz w:val="22"/>
          <w:szCs w:val="22"/>
        </w:rPr>
        <w:t xml:space="preserve">Efter lektion 4 (Versailles) · ca 15–25 minuter</w:t>
      </w:r>
    </w:p>
    <w:p>
      <w:pPr>
        <w:pBdr>
          <w:left w:val="single" w:color="7A2E2E" w:sz="18" w:space="12"/>
        </w:pBdr>
        <w:spacing w:after="320" w:before="120"/>
        <w:ind w:left="360"/>
      </w:pPr>
      <w:r>
        <w:rPr>
          <w:rFonts w:ascii="Calibri" w:cs="Calibri" w:eastAsia="Calibri" w:hAnsi="Calibri"/>
          <w:i/>
          <w:iCs/>
          <w:sz w:val="24"/>
          <w:szCs w:val="24"/>
        </w:rPr>
        <w:t xml:space="preserve">Aktör/struktur är svårt eftersom verkligheten alltid är båda samtidigt. Men för att kunna se hur de samspelar måste man först kunna se dem var för sig. Övningen är 17 exempel där du snabbt väljer A (aktör) eller S (struktur).</w:t>
      </w:r>
    </w:p>
    <w:p>
      <w:pPr>
        <w:pStyle w:val="Heading2"/>
      </w:pPr>
      <w:r>
        <w:rPr>
          <w:rFonts w:ascii="Garamond" w:cs="Garamond" w:eastAsia="Garamond" w:hAnsi="Garamond"/>
          <w:sz w:val="32"/>
          <w:szCs w:val="32"/>
        </w:rPr>
        <w:t xml:space="preserve">Påminnelse</w:t>
      </w:r>
    </w:p>
    <w:p>
      <w:pPr>
        <w:pStyle w:val="ListParagraph"/>
        <w:numPr>
          <w:ilvl w:val="0"/>
          <w:numId w:val="2"/>
        </w:numPr>
        <w:spacing w:after="80"/>
      </w:pPr>
      <w:r>
        <w:rPr>
          <w:rFonts w:ascii="Calibri" w:cs="Calibri" w:eastAsia="Calibri" w:hAnsi="Calibri"/>
          <w:b/>
          <w:bCs/>
          <w:sz w:val="24"/>
          <w:szCs w:val="24"/>
        </w:rPr>
        <w:t xml:space="preserve">Aktör</w:t>
      </w:r>
      <w:r>
        <w:rPr>
          <w:rFonts w:ascii="Calibri" w:cs="Calibri" w:eastAsia="Calibri" w:hAnsi="Calibri"/>
          <w:sz w:val="24"/>
          <w:szCs w:val="24"/>
        </w:rPr>
        <w:t xml:space="preserve"> = en person eller grupp som fattar ett beslut, gör ett val, agerar.</w:t>
      </w:r>
    </w:p>
    <w:p>
      <w:pPr>
        <w:pStyle w:val="ListParagraph"/>
        <w:numPr>
          <w:ilvl w:val="0"/>
          <w:numId w:val="2"/>
        </w:numPr>
        <w:spacing w:after="160"/>
      </w:pPr>
      <w:r>
        <w:rPr>
          <w:rFonts w:ascii="Calibri" w:cs="Calibri" w:eastAsia="Calibri" w:hAnsi="Calibri"/>
          <w:b/>
          <w:bCs/>
          <w:sz w:val="24"/>
          <w:szCs w:val="24"/>
        </w:rPr>
        <w:t xml:space="preserve">Struktur</w:t>
      </w:r>
      <w:r>
        <w:rPr>
          <w:rFonts w:ascii="Calibri" w:cs="Calibri" w:eastAsia="Calibri" w:hAnsi="Calibri"/>
          <w:sz w:val="24"/>
          <w:szCs w:val="24"/>
        </w:rPr>
        <w:t xml:space="preserve"> = ett system, en idéströmning, en ekonomisk eller teknologisk kraft som sätter ramar för vad aktörer kan göra.</w:t>
      </w:r>
    </w:p>
    <w:p>
      <w:pPr>
        <w:spacing w:after="240" w:before="80"/>
      </w:pPr>
      <w:r>
        <w:rPr>
          <w:rFonts w:ascii="Calibri" w:cs="Calibri" w:eastAsia="Calibri" w:hAnsi="Calibri"/>
          <w:sz w:val="24"/>
          <w:szCs w:val="24"/>
        </w:rPr>
        <w:t xml:space="preserve">I varje exempel finns både och — men det finns alltid ett perspektiv som dominerar i hur händelsen är formulerad. Välj det som ligger närmast.</w:t>
      </w:r>
    </w:p>
    <w:p>
      <w:pPr>
        <w:pStyle w:val="Heading2"/>
      </w:pPr>
      <w:r>
        <w:rPr>
          <w:rFonts w:ascii="Garamond" w:cs="Garamond" w:eastAsia="Garamond" w:hAnsi="Garamond"/>
          <w:sz w:val="32"/>
          <w:szCs w:val="32"/>
        </w:rPr>
        <w:t xml:space="preserve">Del 1 — Klassificera</w:t>
      </w:r>
    </w:p>
    <w:p>
      <w:pPr>
        <w:spacing w:after="200"/>
      </w:pPr>
      <w:r>
        <w:rPr>
          <w:rFonts w:ascii="Calibri" w:cs="Calibri" w:eastAsia="Calibri" w:hAnsi="Calibri"/>
          <w:i/>
          <w:iCs/>
          <w:color w:val="4A3F33"/>
          <w:sz w:val="22"/>
          <w:szCs w:val="22"/>
        </w:rPr>
        <w:t xml:space="preserve">Skriv A (aktör) eller S (struktur) på linjen framför varje exempel.</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 </w:t>
      </w:r>
      <w:r>
        <w:rPr>
          <w:rFonts w:ascii="Calibri" w:cs="Calibri" w:eastAsia="Calibri" w:hAnsi="Calibri"/>
          <w:sz w:val="24"/>
          <w:szCs w:val="24"/>
        </w:rPr>
        <w:t xml:space="preserve">Gavrilo Princip skjuter ärkehertig Franz Ferdinand i Sarajevo den 28 juni 1914.</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2. </w:t>
      </w:r>
      <w:r>
        <w:rPr>
          <w:rFonts w:ascii="Calibri" w:cs="Calibri" w:eastAsia="Calibri" w:hAnsi="Calibri"/>
          <w:sz w:val="24"/>
          <w:szCs w:val="24"/>
        </w:rPr>
        <w:t xml:space="preserve">Industrialiseringen gör det möjligt att massproducera artillerigranater i miljontal.</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3. </w:t>
      </w:r>
      <w:r>
        <w:rPr>
          <w:rFonts w:ascii="Calibri" w:cs="Calibri" w:eastAsia="Calibri" w:hAnsi="Calibri"/>
          <w:sz w:val="24"/>
          <w:szCs w:val="24"/>
        </w:rPr>
        <w:t xml:space="preserve">Woodrow Wilson presenterar sina 14 punkter som grund för en framtida fred.</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4. </w:t>
      </w:r>
      <w:r>
        <w:rPr>
          <w:rFonts w:ascii="Calibri" w:cs="Calibri" w:eastAsia="Calibri" w:hAnsi="Calibri"/>
          <w:sz w:val="24"/>
          <w:szCs w:val="24"/>
        </w:rPr>
        <w:t xml:space="preserve">Allianssystemet binder samman Triple Entente och Triple Alliance.</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5. </w:t>
      </w:r>
      <w:r>
        <w:rPr>
          <w:rFonts w:ascii="Calibri" w:cs="Calibri" w:eastAsia="Calibri" w:hAnsi="Calibri"/>
          <w:sz w:val="24"/>
          <w:szCs w:val="24"/>
        </w:rPr>
        <w:t xml:space="preserve">Den franska opinionen kräver hård linje mot Tyskland efter fyra års krig och 1,4 miljoner döda.</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6. </w:t>
      </w:r>
      <w:r>
        <w:rPr>
          <w:rFonts w:ascii="Calibri" w:cs="Calibri" w:eastAsia="Calibri" w:hAnsi="Calibri"/>
          <w:sz w:val="24"/>
          <w:szCs w:val="24"/>
        </w:rPr>
        <w:t xml:space="preserve">Vera Brittain avbryter sina studier vid Oxford för att bli VAD-sjuksköterska vid fronten.</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7. </w:t>
      </w:r>
      <w:r>
        <w:rPr>
          <w:rFonts w:ascii="Calibri" w:cs="Calibri" w:eastAsia="Calibri" w:hAnsi="Calibri"/>
          <w:sz w:val="24"/>
          <w:szCs w:val="24"/>
        </w:rPr>
        <w:t xml:space="preserve">Kejsar Wilhelm II skriver "blankochecken" till Österrike-Ungern den 5–6 juli 1914.</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8. </w:t>
      </w:r>
      <w:r>
        <w:rPr>
          <w:rFonts w:ascii="Calibri" w:cs="Calibri" w:eastAsia="Calibri" w:hAnsi="Calibri"/>
          <w:sz w:val="24"/>
          <w:szCs w:val="24"/>
        </w:rPr>
        <w:t xml:space="preserve">Skyttegravskriget och kulsprutan gör frontalanfall till massmord.</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9. </w:t>
      </w:r>
      <w:r>
        <w:rPr>
          <w:rFonts w:ascii="Calibri" w:cs="Calibri" w:eastAsia="Calibri" w:hAnsi="Calibri"/>
          <w:sz w:val="24"/>
          <w:szCs w:val="24"/>
        </w:rPr>
        <w:t xml:space="preserve">John Maynard Keynes avgår från brittiska delegationen i protest.</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10. </w:t>
      </w:r>
      <w:r>
        <w:rPr>
          <w:rFonts w:ascii="Calibri" w:cs="Calibri" w:eastAsia="Calibri" w:hAnsi="Calibri"/>
          <w:sz w:val="24"/>
          <w:szCs w:val="24"/>
        </w:rPr>
        <w:t xml:space="preserve">Nationalismen som idéströmning växer sig stark i Europa under 1800-talets andra hälft.</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11. </w:t>
      </w:r>
      <w:r>
        <w:rPr>
          <w:rFonts w:ascii="Calibri" w:cs="Calibri" w:eastAsia="Calibri" w:hAnsi="Calibri"/>
          <w:sz w:val="24"/>
          <w:szCs w:val="24"/>
        </w:rPr>
        <w:t xml:space="preserve">Bakary Diallo, senegalesisk tirailleur, tar värvning och åker till västfronten.</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12. </w:t>
      </w:r>
      <w:r>
        <w:rPr>
          <w:rFonts w:ascii="Calibri" w:cs="Calibri" w:eastAsia="Calibri" w:hAnsi="Calibri"/>
          <w:sz w:val="24"/>
          <w:szCs w:val="24"/>
        </w:rPr>
        <w:t xml:space="preserve">Den ekonomiska kollapsen i Tyskland efter reparationskraven leder till hyperinflation 1923.</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13. </w:t>
      </w:r>
      <w:r>
        <w:rPr>
          <w:rFonts w:ascii="Calibri" w:cs="Calibri" w:eastAsia="Calibri" w:hAnsi="Calibri"/>
          <w:sz w:val="24"/>
          <w:szCs w:val="24"/>
        </w:rPr>
        <w:t xml:space="preserve">Tsar Nikolaj II beordrar generell mobilisering av den ryska armén den 30 juli 1914.</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14. </w:t>
      </w:r>
      <w:r>
        <w:rPr>
          <w:rFonts w:ascii="Calibri" w:cs="Calibri" w:eastAsia="Calibri" w:hAnsi="Calibri"/>
          <w:sz w:val="24"/>
          <w:szCs w:val="24"/>
        </w:rPr>
        <w:t xml:space="preserve">Frankrike värvar omkring 200 000 soldater från sina afrikanska kolonier.</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15. </w:t>
      </w:r>
      <w:r>
        <w:rPr>
          <w:rFonts w:ascii="Calibri" w:cs="Calibri" w:eastAsia="Calibri" w:hAnsi="Calibri"/>
          <w:sz w:val="24"/>
          <w:szCs w:val="24"/>
        </w:rPr>
        <w:t xml:space="preserve">Georges Clemenceau driver linjen att Tyskland ska förödmjukas och betala för kriget.</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16. </w:t>
      </w:r>
      <w:r>
        <w:rPr>
          <w:rFonts w:ascii="Calibri" w:cs="Calibri" w:eastAsia="Calibri" w:hAnsi="Calibri"/>
          <w:sz w:val="24"/>
          <w:szCs w:val="24"/>
        </w:rPr>
        <w:t xml:space="preserve">Imperialismen — Europas stormakter konkurrerar om kolonier i Afrika och Asien.</w:t>
      </w:r>
    </w:p>
    <w:p>
      <w:pPr>
        <w:spacing w:after="100" w:before="100"/>
      </w:pPr>
      <w:r>
        <w:rPr>
          <w:rFonts w:ascii="Calibri" w:cs="Calibri" w:eastAsia="Calibri" w:hAnsi="Calibri"/>
          <w:sz w:val="28"/>
          <w:szCs w:val="28"/>
        </w:rPr>
        <w:t xml:space="preserve">_____   </w:t>
      </w:r>
      <w:r>
        <w:rPr>
          <w:rFonts w:ascii="Calibri" w:cs="Calibri" w:eastAsia="Calibri" w:hAnsi="Calibri"/>
          <w:b/>
          <w:bCs/>
          <w:sz w:val="24"/>
          <w:szCs w:val="24"/>
        </w:rPr>
        <w:t xml:space="preserve">17. </w:t>
      </w:r>
      <w:r>
        <w:rPr>
          <w:rFonts w:ascii="Calibri" w:cs="Calibri" w:eastAsia="Calibri" w:hAnsi="Calibri"/>
          <w:sz w:val="24"/>
          <w:szCs w:val="24"/>
        </w:rPr>
        <w:t xml:space="preserve">USA:s senat röstar nej till medlemskap i Nationernas förbund.</w:t>
      </w:r>
    </w:p>
    <w:p>
      <w:pPr>
        <w:pStyle w:val="Heading2"/>
      </w:pPr>
      <w:r>
        <w:rPr>
          <w:rFonts w:ascii="Garamond" w:cs="Garamond" w:eastAsia="Garamond" w:hAnsi="Garamond"/>
          <w:sz w:val="32"/>
          <w:szCs w:val="32"/>
        </w:rPr>
        <w:t xml:space="preserve">Differentiering</w:t>
      </w:r>
    </w:p>
    <w:p>
      <w:pPr>
        <w:pStyle w:val="Heading3"/>
      </w:pPr>
      <w:r>
        <w:rPr>
          <w:rFonts w:ascii="Calibri" w:cs="Calibri" w:eastAsia="Calibri" w:hAnsi="Calibri"/>
          <w:b/>
          <w:bCs/>
          <w:sz w:val="24"/>
          <w:szCs w:val="24"/>
        </w:rPr>
        <w:t xml:space="preserve">Stöd (mot E)</w:t>
      </w:r>
    </w:p>
    <w:p>
      <w:pPr>
        <w:pStyle w:val="ListParagraph"/>
        <w:numPr>
          <w:ilvl w:val="0"/>
          <w:numId w:val="2"/>
        </w:numPr>
        <w:spacing w:after="80"/>
      </w:pPr>
      <w:r>
        <w:rPr>
          <w:rFonts w:ascii="Calibri" w:cs="Calibri" w:eastAsia="Calibri" w:hAnsi="Calibri"/>
          <w:sz w:val="24"/>
          <w:szCs w:val="24"/>
        </w:rPr>
        <w:t xml:space="preserve">Om du fastnar: ställ frågan </w:t>
      </w:r>
      <w:r>
        <w:rPr>
          <w:rFonts w:ascii="Calibri" w:cs="Calibri" w:eastAsia="Calibri" w:hAnsi="Calibri"/>
          <w:b/>
          <w:bCs/>
          <w:sz w:val="24"/>
          <w:szCs w:val="24"/>
        </w:rPr>
        <w:t xml:space="preserve">"Är det en person eller en kraft?"</w:t>
      </w:r>
      <w:r>
        <w:rPr>
          <w:rFonts w:ascii="Calibri" w:cs="Calibri" w:eastAsia="Calibri" w:hAnsi="Calibri"/>
          <w:sz w:val="24"/>
          <w:szCs w:val="24"/>
        </w:rPr>
        <w:t xml:space="preserve"> Person = aktör. Kraft (system, idé, teknik, ekonomi) = struktur.</w:t>
      </w:r>
    </w:p>
    <w:p>
      <w:pPr>
        <w:pStyle w:val="ListParagraph"/>
        <w:numPr>
          <w:ilvl w:val="0"/>
          <w:numId w:val="2"/>
        </w:numPr>
        <w:spacing w:after="120"/>
      </w:pPr>
      <w:r>
        <w:rPr>
          <w:rFonts w:ascii="Calibri" w:cs="Calibri" w:eastAsia="Calibri" w:hAnsi="Calibri"/>
          <w:sz w:val="24"/>
          <w:szCs w:val="24"/>
        </w:rPr>
        <w:t xml:space="preserve">Hoppa över ett exempel om du fastnar — kom tillbaka till det när du arbetat dig igenom de andra.</w:t>
      </w:r>
    </w:p>
    <w:p>
      <w:pPr>
        <w:pStyle w:val="Heading3"/>
      </w:pPr>
      <w:r>
        <w:rPr>
          <w:rFonts w:ascii="Calibri" w:cs="Calibri" w:eastAsia="Calibri" w:hAnsi="Calibri"/>
          <w:b/>
          <w:bCs/>
          <w:sz w:val="24"/>
          <w:szCs w:val="24"/>
        </w:rPr>
        <w:t xml:space="preserve">Utmaning (mot A)</w:t>
      </w:r>
    </w:p>
    <w:p>
      <w:pPr>
        <w:spacing w:after="60"/>
      </w:pPr>
      <w:r>
        <w:rPr>
          <w:rFonts w:ascii="Calibri" w:cs="Calibri" w:eastAsia="Calibri" w:hAnsi="Calibri"/>
          <w:sz w:val="24"/>
          <w:szCs w:val="24"/>
        </w:rPr>
        <w:t xml:space="preserve">För varje exempel där du svarat A: </w:t>
      </w:r>
      <w:r>
        <w:rPr>
          <w:rFonts w:ascii="Calibri" w:cs="Calibri" w:eastAsia="Calibri" w:hAnsi="Calibri"/>
          <w:b/>
          <w:bCs/>
          <w:sz w:val="24"/>
          <w:szCs w:val="24"/>
        </w:rPr>
        <w:t xml:space="preserve">vilken struktur verkade samtidigt?</w:t>
      </w:r>
    </w:p>
    <w:p>
      <w:pPr>
        <w:spacing w:after="160"/>
      </w:pPr>
      <w:r>
        <w:rPr>
          <w:rFonts w:ascii="Calibri" w:cs="Calibri" w:eastAsia="Calibri" w:hAnsi="Calibri"/>
          <w:sz w:val="24"/>
          <w:szCs w:val="24"/>
        </w:rPr>
        <w:t xml:space="preserve">För varje exempel där du svarat S: </w:t>
      </w:r>
      <w:r>
        <w:rPr>
          <w:rFonts w:ascii="Calibri" w:cs="Calibri" w:eastAsia="Calibri" w:hAnsi="Calibri"/>
          <w:b/>
          <w:bCs/>
          <w:sz w:val="24"/>
          <w:szCs w:val="24"/>
        </w:rPr>
        <w:t xml:space="preserve">vilken aktör verkade inom strukturen?</w:t>
      </w:r>
    </w:p>
    <w:p>
      <w:pPr>
        <w:spacing w:after="200"/>
      </w:pPr>
      <w:r>
        <w:rPr>
          <w:rFonts w:ascii="Calibri" w:cs="Calibri" w:eastAsia="Calibri" w:hAnsi="Calibri"/>
          <w:sz w:val="24"/>
          <w:szCs w:val="24"/>
        </w:rPr>
        <w:t xml:space="preserve">Skriv kort (1 mening) bredvid minst 5 av exemplen. Detta tränar dig i att se samspelet — vilket krävs för C- och A-nivå.</w:t>
      </w:r>
    </w:p>
    <w:p>
      <w:pPr>
        <w:spacing w:before="120"/>
      </w:pPr>
      <w:r>
        <w:rPr>
          <w:rFonts w:ascii="Calibri" w:cs="Calibri" w:eastAsia="Calibri" w:hAnsi="Calibri"/>
          <w:b/>
          <w:bCs/>
          <w:sz w:val="24"/>
          <w:szCs w:val="24"/>
        </w:rPr>
        <w:t xml:space="preserve">Bonus-fråga: </w:t>
      </w:r>
      <w:r>
        <w:rPr>
          <w:rFonts w:ascii="Calibri" w:cs="Calibri" w:eastAsia="Calibri" w:hAnsi="Calibri"/>
          <w:sz w:val="24"/>
          <w:szCs w:val="24"/>
        </w:rPr>
        <w:t xml:space="preserve">Är det något exempel där du tycker att svaret BORDE vara "både och"? Vilket, och varför?</w:t>
      </w:r>
    </w:p>
    <w:p>
      <w:r>
        <w:br w:type="page"/>
      </w:r>
    </w:p>
    <w:p>
      <w:pPr>
        <w:pStyle w:val="Heading2"/>
      </w:pPr>
      <w:r>
        <w:rPr>
          <w:rFonts w:ascii="Garamond" w:cs="Garamond" w:eastAsia="Garamond" w:hAnsi="Garamond"/>
          <w:sz w:val="32"/>
          <w:szCs w:val="32"/>
        </w:rPr>
        <w:t xml:space="preserve">Facit</w:t>
      </w:r>
    </w:p>
    <w:p>
      <w:pPr>
        <w:spacing w:after="200"/>
      </w:pPr>
      <w:r>
        <w:rPr>
          <w:rFonts w:ascii="Calibri" w:cs="Calibri" w:eastAsia="Calibri" w:hAnsi="Calibri"/>
          <w:i/>
          <w:iCs/>
          <w:color w:val="4A3F33"/>
          <w:sz w:val="22"/>
          <w:szCs w:val="22"/>
        </w:rPr>
        <w:t xml:space="preserve">Klipp bort denna sektion om du vill att eleverna inte ser svaren — eller låt stå för självrättning.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7160"/>
      </w:tblGrid>
      <w:tr>
        <w:trPr>
          <w:tblHeader/>
        </w:trPr>
        <w:tc>
          <w:tcPr>
            <w:tcW w:type="dxa" w:w="720"/>
            <w:tcBorders>
              <w:top w:val="single" w:color="CCCCCC" w:sz="4"/>
              <w:left w:val="single" w:color="CCCCCC" w:sz="4"/>
              <w:bottom w:val="single" w:color="CCCCCC" w:sz="4"/>
              <w:right w:val="single" w:color="CCCCCC" w:sz="4"/>
            </w:tcBorders>
            <w:shd w:fill="EBE1CF" w:val="clear"/>
            <w:tcMar>
              <w:top w:type="dxa" w:w="80"/>
              <w:left w:type="dxa" w:w="120"/>
              <w:bottom w:type="dxa" w:w="80"/>
              <w:right w:type="dxa" w:w="120"/>
            </w:tcMar>
          </w:tcPr>
          <w:p>
            <w:r>
              <w:rPr>
                <w:rFonts w:ascii="Calibri" w:cs="Calibri" w:eastAsia="Calibri" w:hAnsi="Calibri"/>
                <w:b/>
                <w:bCs/>
                <w:sz w:val="22"/>
                <w:szCs w:val="22"/>
              </w:rPr>
              <w:t xml:space="preserve">#</w:t>
            </w:r>
          </w:p>
        </w:tc>
        <w:tc>
          <w:tcPr>
            <w:tcW w:type="dxa" w:w="1080"/>
            <w:tcBorders>
              <w:top w:val="single" w:color="CCCCCC" w:sz="4"/>
              <w:left w:val="single" w:color="CCCCCC" w:sz="4"/>
              <w:bottom w:val="single" w:color="CCCCCC" w:sz="4"/>
              <w:right w:val="single" w:color="CCCCCC" w:sz="4"/>
            </w:tcBorders>
            <w:shd w:fill="EBE1CF" w:val="clear"/>
            <w:tcMar>
              <w:top w:type="dxa" w:w="80"/>
              <w:left w:type="dxa" w:w="120"/>
              <w:bottom w:type="dxa" w:w="80"/>
              <w:right w:type="dxa" w:w="120"/>
            </w:tcMar>
          </w:tcPr>
          <w:p>
            <w:r>
              <w:rPr>
                <w:rFonts w:ascii="Calibri" w:cs="Calibri" w:eastAsia="Calibri" w:hAnsi="Calibri"/>
                <w:b/>
                <w:bCs/>
                <w:sz w:val="22"/>
                <w:szCs w:val="22"/>
              </w:rPr>
              <w:t xml:space="preserve">Svar</w:t>
            </w:r>
          </w:p>
        </w:tc>
        <w:tc>
          <w:tcPr>
            <w:tcW w:type="dxa" w:w="7160"/>
            <w:tcBorders>
              <w:top w:val="single" w:color="CCCCCC" w:sz="4"/>
              <w:left w:val="single" w:color="CCCCCC" w:sz="4"/>
              <w:bottom w:val="single" w:color="CCCCCC" w:sz="4"/>
              <w:right w:val="single" w:color="CCCCCC" w:sz="4"/>
            </w:tcBorders>
            <w:shd w:fill="EBE1CF" w:val="clear"/>
            <w:tcMar>
              <w:top w:type="dxa" w:w="80"/>
              <w:left w:type="dxa" w:w="120"/>
              <w:bottom w:type="dxa" w:w="80"/>
              <w:right w:type="dxa" w:w="120"/>
            </w:tcMar>
          </w:tcPr>
          <w:p>
            <w:r>
              <w:rPr>
                <w:rFonts w:ascii="Calibri" w:cs="Calibri" w:eastAsia="Calibri" w:hAnsi="Calibri"/>
                <w:b/>
                <w:bCs/>
                <w:sz w:val="22"/>
                <w:szCs w:val="22"/>
              </w:rPr>
              <w:t xml:space="preserve">Motivering</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En enskild person fattar beslutet att skjuta. Strukturen (panslavism, Mlada Bosna) finns där, men handlingen är aktörens.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2</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Industrialiseringen är en ekonomisk-teknologisk struktur, ingen persons val.</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3</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Wilson formulerar och presenterar — personligen.</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4</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Allianssystemet är en politisk-juridisk struktur — den binder aktörer.</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5</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"Opinionen" är inte en aktör — det är en kollektiv stämning, en strukturell kraft.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6</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Vera Brittain gör ett aktivt, dokumenterat val mot familjens vilja.</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7</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Wilhelm II skriver personligen, fattar ett beslut.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8</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Tekniken (kulsprutan, artilleriet) sätter villkoren för all stridstaktik.</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9</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Keynes avgår — ett individuellt val.</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10</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Nationalism är en idéströmning som formar mentaliteter, inte en handling.</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11</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Diallo beskriver i sin memoar Force-Bonté (1926) sitt val att ta värvning.</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12</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Hyperinflationen är en ekonomisk struktureffekt, inte ett beslut.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13</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Tsaren beordrar — ett enskilt beslut med enorma konsekvenser.</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14</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Det franska kolonialsystemet möjliggör värvningen — det är strukturen som verkar.</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15</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Clemenceau som person driver linjen i förhandlingarna.</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16</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B8862F"/>
                <w:sz w:val="22"/>
                <w:szCs w:val="22"/>
              </w:rPr>
              <w:t xml:space="preserv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Imperialismen är ingen enskild persons beslut — det är ett ekonomiskt-politiskt system.</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17</w:t>
            </w:r>
          </w:p>
        </w:tc>
        <w:tc>
          <w:tcPr>
            <w:tcW w:type="dxa" w:w="1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7A2E2E"/>
                <w:sz w:val="22"/>
                <w:szCs w:val="22"/>
              </w:rPr>
              <w:t xml:space="preserve">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1"/>
                <w:szCs w:val="21"/>
              </w:rPr>
              <w:t xml:space="preserve">Senaten är en kollektiv aktör som röstar — ett konkret beslut.</w:t>
            </w:r>
          </w:p>
        </w:tc>
      </w:tr>
    </w:tbl>
    <w:p>
      <w:pPr>
        <w:pStyle w:val="Heading3"/>
      </w:pPr>
      <w:r>
        <w:rPr>
          <w:rFonts w:ascii="Calibri" w:cs="Calibri" w:eastAsia="Calibri" w:hAnsi="Calibri"/>
          <w:b/>
          <w:bCs/>
          <w:sz w:val="24"/>
          <w:szCs w:val="24"/>
        </w:rPr>
        <w:t xml:space="preserve">Lärarkommentar</w:t>
      </w:r>
    </w:p>
    <w:p>
      <w:pPr>
        <w:spacing w:after="160"/>
      </w:pPr>
      <w:r>
        <w:rPr>
          <w:rFonts w:ascii="Calibri" w:cs="Calibri" w:eastAsia="Calibri" w:hAnsi="Calibri"/>
          <w:sz w:val="24"/>
          <w:szCs w:val="24"/>
        </w:rPr>
        <w:t xml:space="preserve">Flera exempel kan diskuteras. Exempel 4 (allianssystemet) är klart strukturellt, men varje allians grundades en gång av aktörer. Exempel 17 (USA:s senat röstar nej): senaten är en kollektiv aktör, men beslutet drivs av amerikansk isolationism (struktur).</w:t>
      </w:r>
    </w:p>
    <w:p>
      <w:pPr>
        <w:spacing w:after="200" w:before="120"/>
      </w:pPr>
      <w:r>
        <w:rPr>
          <w:rFonts w:ascii="Calibri" w:cs="Calibri" w:eastAsia="Calibri" w:hAnsi="Calibri"/>
          <w:b/>
          <w:bCs/>
          <w:sz w:val="24"/>
          <w:szCs w:val="24"/>
        </w:rPr>
        <w:t xml:space="preserve">Pedagogisk poäng: </w:t>
      </w:r>
      <w:r>
        <w:rPr>
          <w:rFonts w:ascii="Calibri" w:cs="Calibri" w:eastAsia="Calibri" w:hAnsi="Calibri"/>
          <w:sz w:val="24"/>
          <w:szCs w:val="24"/>
        </w:rPr>
        <w:t xml:space="preserve">Övningen tränar igenkänning — snabb, automatisk klassificering — som grund för det mer nyanserade resonerande som krävs på C- och A-nivå. När eleverna fått automatik kan ni gå tillbaka till 2–3 av exemplen och fråga: </w:t>
      </w:r>
      <w:r>
        <w:rPr>
          <w:rFonts w:ascii="Calibri" w:cs="Calibri" w:eastAsia="Calibri" w:hAnsi="Calibri"/>
          <w:i/>
          <w:iCs/>
          <w:sz w:val="24"/>
          <w:szCs w:val="24"/>
        </w:rPr>
        <w:t xml:space="preserve">"Vilken motkraft verkade samtidigt?"</w:t>
      </w:r>
    </w:p>
    <w:p>
      <w:pPr>
        <w:pStyle w:val="Heading2"/>
      </w:pPr>
      <w:r>
        <w:rPr>
          <w:rFonts w:ascii="Garamond" w:cs="Garamond" w:eastAsia="Garamond" w:hAnsi="Garamond"/>
          <w:sz w:val="32"/>
          <w:szCs w:val="32"/>
        </w:rPr>
        <w:t xml:space="preserve">Förslag på arbetsform</w:t>
      </w:r>
    </w:p>
    <w:p>
      <w:pPr>
        <w:pStyle w:val="ListParagraph"/>
        <w:numPr>
          <w:ilvl w:val="0"/>
          <w:numId w:val="2"/>
        </w:numPr>
        <w:spacing w:after="80"/>
      </w:pPr>
      <w:r>
        <w:rPr>
          <w:rFonts w:ascii="Calibri" w:cs="Calibri" w:eastAsia="Calibri" w:hAnsi="Calibri"/>
          <w:b/>
          <w:bCs/>
          <w:sz w:val="24"/>
          <w:szCs w:val="24"/>
        </w:rPr>
        <w:t xml:space="preserve">Enskilt 10 min: </w:t>
      </w:r>
      <w:r>
        <w:rPr>
          <w:rFonts w:ascii="Calibri" w:cs="Calibri" w:eastAsia="Calibri" w:hAnsi="Calibri"/>
          <w:sz w:val="24"/>
          <w:szCs w:val="24"/>
        </w:rPr>
        <w:t xml:space="preserve">eleverna fyller i övningen utan diskussion.</w:t>
      </w:r>
    </w:p>
    <w:p>
      <w:pPr>
        <w:pStyle w:val="ListParagraph"/>
        <w:numPr>
          <w:ilvl w:val="0"/>
          <w:numId w:val="2"/>
        </w:numPr>
        <w:spacing w:after="80"/>
      </w:pPr>
      <w:r>
        <w:rPr>
          <w:rFonts w:ascii="Calibri" w:cs="Calibri" w:eastAsia="Calibri" w:hAnsi="Calibri"/>
          <w:b/>
          <w:bCs/>
          <w:sz w:val="24"/>
          <w:szCs w:val="24"/>
        </w:rPr>
        <w:t xml:space="preserve">Par 5 min: </w:t>
      </w:r>
      <w:r>
        <w:rPr>
          <w:rFonts w:ascii="Calibri" w:cs="Calibri" w:eastAsia="Calibri" w:hAnsi="Calibri"/>
          <w:sz w:val="24"/>
          <w:szCs w:val="24"/>
        </w:rPr>
        <w:t xml:space="preserve">eleverna jämför svar och diskuterar de exempel där de inte är överens.</w:t>
      </w:r>
    </w:p>
    <w:p>
      <w:pPr>
        <w:pStyle w:val="ListParagraph"/>
        <w:numPr>
          <w:ilvl w:val="0"/>
          <w:numId w:val="2"/>
        </w:numPr>
        <w:spacing w:after="80"/>
      </w:pPr>
      <w:r>
        <w:rPr>
          <w:rFonts w:ascii="Calibri" w:cs="Calibri" w:eastAsia="Calibri" w:hAnsi="Calibri"/>
          <w:b/>
          <w:bCs/>
          <w:sz w:val="24"/>
          <w:szCs w:val="24"/>
        </w:rPr>
        <w:t xml:space="preserve">Helklass 5–10 min: </w:t>
      </w:r>
      <w:r>
        <w:rPr>
          <w:rFonts w:ascii="Calibri" w:cs="Calibri" w:eastAsia="Calibri" w:hAnsi="Calibri"/>
          <w:sz w:val="24"/>
          <w:szCs w:val="24"/>
        </w:rPr>
        <w:t xml:space="preserve">läraren går igenom 5–6 exempel som många hade fel på och lyfter motiveringen.</w:t>
      </w:r>
    </w:p>
    <w:p>
      <w:pPr>
        <w:pStyle w:val="ListParagraph"/>
        <w:numPr>
          <w:ilvl w:val="0"/>
          <w:numId w:val="2"/>
        </w:numPr>
        <w:spacing w:after="200"/>
      </w:pPr>
      <w:r>
        <w:rPr>
          <w:rFonts w:ascii="Calibri" w:cs="Calibri" w:eastAsia="Calibri" w:hAnsi="Calibri"/>
          <w:b/>
          <w:bCs/>
          <w:sz w:val="24"/>
          <w:szCs w:val="24"/>
        </w:rPr>
        <w:t xml:space="preserve">Avslut: </w:t>
      </w:r>
      <w:r>
        <w:rPr>
          <w:rFonts w:ascii="Calibri" w:cs="Calibri" w:eastAsia="Calibri" w:hAnsi="Calibri"/>
          <w:sz w:val="24"/>
          <w:szCs w:val="24"/>
        </w:rPr>
        <w:t xml:space="preserve">A-uppgiften som hemuppgift, eller koppling till de fördjupande motiveringsfrågorna i surveyappen.</w:t>
      </w:r>
    </w:p>
    <w:p>
      <w:pPr>
        <w:spacing w:before="200"/>
      </w:pPr>
      <w:r>
        <w:rPr>
          <w:rFonts w:ascii="Calibri" w:cs="Calibri" w:eastAsia="Calibri" w:hAnsi="Calibri"/>
          <w:b/>
          <w:bCs/>
          <w:i/>
          <w:iCs/>
          <w:sz w:val="24"/>
          <w:szCs w:val="24"/>
        </w:rPr>
        <w:t xml:space="preserve">Alternativt format: </w:t>
      </w:r>
      <w:r>
        <w:rPr>
          <w:rFonts w:ascii="Calibri" w:cs="Calibri" w:eastAsia="Calibri" w:hAnsi="Calibri"/>
          <w:sz w:val="24"/>
          <w:szCs w:val="24"/>
        </w:rPr>
        <w:t xml:space="preserve">Skriv ut exemplen som kort, eleverna sorterar fysiskt i två högar (A och S) i grupper om 3–4. Mer aktivitet, samma innehåll.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A2E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1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aramond" w:cs="Garamond" w:eastAsia="Garamond" w:hAnsi="Garamond"/>
      <w:b w:val="false"/>
      <w:bCs w:val="false"/>
      <w:color w:val="1F1A15"/>
      <w:sz w:val="44"/>
      <w:szCs w:val="44"/>
    </w:rPr>
  </w:style>
  <w:style w:type="paragraph" w:styleId="Heading2">
    <w:name w:val="Heading 2"/>
    <w:basedOn w:val="Normal"/>
    <w:next w:val="Normal"/>
    <w:qFormat/>
    <w:pPr>
      <w:spacing w:after="160" w:before="320"/>
      <w:outlineLvl w:val="1"/>
    </w:pPr>
    <w:rPr>
      <w:rFonts w:ascii="Garamond" w:cs="Garamond" w:eastAsia="Garamond" w:hAnsi="Garamond"/>
      <w:b w:val="false"/>
      <w:bCs w:val="false"/>
      <w:color w:val="7A2E2E"/>
      <w:sz w:val="32"/>
      <w:szCs w:val="32"/>
    </w:rPr>
  </w:style>
  <w:style w:type="paragraph" w:styleId="Heading3">
    <w:name w:val="Heading 3"/>
    <w:basedOn w:val="Normal"/>
    <w:next w:val="Normal"/>
    <w:qFormat/>
    <w:pPr>
      <w:spacing w:after="80" w:before="200"/>
      <w:outlineLvl w:val="2"/>
    </w:pPr>
    <w:rPr>
      <w:rFonts w:ascii="Calibri" w:cs="Calibri" w:eastAsia="Calibri" w:hAnsi="Calibri"/>
      <w:b/>
      <w:bCs/>
      <w:color w:val="1F1A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2026-05-08T08:56:50.282Z</dcterms:created>
  <dcterms:modified xsi:type="dcterms:W3CDTF">2026-05-08T08:56:50.282Z</dcterms:modified>
</cp:coreProperties>
</file>

<file path=docProps/custom.xml><?xml version="1.0" encoding="utf-8"?>
<Properties xmlns="http://schemas.openxmlformats.org/officeDocument/2006/custom-properties" xmlns:vt="http://schemas.openxmlformats.org/officeDocument/2006/docPropsVTypes"/>
</file>