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rPr>
        <w:t xml:space="preserve">Lektion 8: Seminarium — Källkritik i praktiken</w:t>
      </w:r>
    </w:p>
    <w:p>
      <w:pPr>
        <w:spacing w:after="120"/>
      </w:pPr>
      <w:r>
        <w:rPr>
          <w:rFonts w:ascii="Arial" w:cs="Arial" w:eastAsia="Arial" w:hAnsi="Arial"/>
          <w:sz w:val="24"/>
          <w:szCs w:val="24"/>
        </w:rPr>
        <w:t xml:space="preserve">Summativ seminarie-examination med tilldelade perspektiv</w:t>
      </w:r>
    </w:p>
    <w:p>
      <w:pPr>
        <w:spacing w:after="60"/>
      </w:pPr>
    </w:p>
    <w:p>
      <w:pPr>
        <w:spacing w:after="120"/>
      </w:pPr>
      <w:r>
        <w:rPr>
          <w:rFonts w:ascii="Arial" w:cs="Arial" w:eastAsia="Arial" w:hAnsi="Arial"/>
          <w:b/>
          <w:bCs/>
          <w:sz w:val="24"/>
          <w:szCs w:val="24"/>
        </w:rPr>
        <w:t xml:space="preserve">Kurs: </w:t>
      </w:r>
      <w:r>
        <w:rPr>
          <w:rFonts w:ascii="Arial" w:cs="Arial" w:eastAsia="Arial" w:hAnsi="Arial"/>
          <w:sz w:val="24"/>
          <w:szCs w:val="24"/>
        </w:rPr>
        <w:t xml:space="preserve">Samhällskunskap 3 / Internationella relationer</w:t>
      </w:r>
    </w:p>
    <w:p>
      <w:pPr>
        <w:spacing w:after="120"/>
      </w:pPr>
      <w:r>
        <w:rPr>
          <w:rFonts w:ascii="Arial" w:cs="Arial" w:eastAsia="Arial" w:hAnsi="Arial"/>
          <w:b/>
          <w:bCs/>
          <w:sz w:val="24"/>
          <w:szCs w:val="24"/>
        </w:rPr>
        <w:t xml:space="preserve">Moment: </w:t>
      </w:r>
      <w:r>
        <w:rPr>
          <w:rFonts w:ascii="Arial" w:cs="Arial" w:eastAsia="Arial" w:hAnsi="Arial"/>
          <w:sz w:val="24"/>
          <w:szCs w:val="24"/>
        </w:rPr>
        <w:t xml:space="preserve">Källkritik — AI-genererat innehåll och konspirationsteorier</w:t>
      </w:r>
    </w:p>
    <w:p>
      <w:pPr>
        <w:spacing w:after="120"/>
      </w:pPr>
      <w:r>
        <w:rPr>
          <w:rFonts w:ascii="Arial" w:cs="Arial" w:eastAsia="Arial" w:hAnsi="Arial"/>
          <w:b/>
          <w:bCs/>
          <w:sz w:val="24"/>
          <w:szCs w:val="24"/>
        </w:rPr>
        <w:t xml:space="preserve">Lektionslängd: </w:t>
      </w:r>
      <w:r>
        <w:rPr>
          <w:rFonts w:ascii="Arial" w:cs="Arial" w:eastAsia="Arial" w:hAnsi="Arial"/>
          <w:sz w:val="24"/>
          <w:szCs w:val="24"/>
        </w:rPr>
        <w:t xml:space="preserve">80 minuter</w:t>
      </w:r>
    </w:p>
    <w:p>
      <w:pPr>
        <w:spacing w:after="120"/>
      </w:pPr>
      <w:r>
        <w:rPr>
          <w:rFonts w:ascii="Arial" w:cs="Arial" w:eastAsia="Arial" w:hAnsi="Arial"/>
          <w:b/>
          <w:bCs/>
          <w:sz w:val="24"/>
          <w:szCs w:val="24"/>
        </w:rPr>
        <w:t xml:space="preserve">Grupp: </w:t>
      </w:r>
      <w:r>
        <w:rPr>
          <w:rFonts w:ascii="Arial" w:cs="Arial" w:eastAsia="Arial" w:hAnsi="Arial"/>
          <w:sz w:val="24"/>
          <w:szCs w:val="24"/>
        </w:rPr>
        <w:t xml:space="preserve">MSA23</w:t>
      </w:r>
    </w:p>
    <w:p>
      <w:pPr>
        <w:pStyle w:val="Heading2"/>
        <w:spacing w:after="120" w:before="240"/>
      </w:pPr>
      <w:r>
        <w:rPr>
          <w:rFonts w:ascii="Arial" w:cs="Arial" w:eastAsia="Arial" w:hAnsi="Arial"/>
          <w:b/>
          <w:bCs/>
          <w:sz w:val="28"/>
          <w:szCs w:val="28"/>
        </w:rPr>
        <w:t xml:space="preserve">Lärandemål för lektionen</w:t>
      </w:r>
    </w:p>
    <w:p>
      <w:pPr>
        <w:spacing w:after="120"/>
      </w:pPr>
      <w:r>
        <w:rPr>
          <w:rFonts w:ascii="Arial" w:cs="Arial" w:eastAsia="Arial" w:hAnsi="Arial"/>
          <w:sz w:val="24"/>
          <w:szCs w:val="24"/>
        </w:rPr>
        <w:t xml:space="preserve">Eleven ska visa sin förmåga att resonera om varför konspirationsteorier och AI-genererat innehåll kan upplevas som övertygande, samt delta i muntlig diskussion med analytisk distans och tredjepersons-framing.</w:t>
      </w:r>
    </w:p>
    <w:p>
      <w:pPr>
        <w:spacing w:after="60"/>
      </w:pPr>
    </w:p>
    <w:p>
      <w:pPr>
        <w:pStyle w:val="ListParagraph"/>
        <w:numPr>
          <w:ilvl w:val="0"/>
          <w:numId w:val="2"/>
        </w:numPr>
        <w:spacing w:after="60"/>
      </w:pPr>
      <w:r>
        <w:rPr>
          <w:rFonts w:ascii="Arial" w:cs="Arial" w:eastAsia="Arial" w:hAnsi="Arial"/>
          <w:sz w:val="24"/>
          <w:szCs w:val="24"/>
        </w:rPr>
        <w:t xml:space="preserve">Analysera varför konspirationsteorier upplevs som övertygande (mål 2)</w:t>
      </w:r>
    </w:p>
    <w:p>
      <w:pPr>
        <w:pStyle w:val="ListParagraph"/>
        <w:numPr>
          <w:ilvl w:val="0"/>
          <w:numId w:val="2"/>
        </w:numPr>
        <w:spacing w:after="60"/>
      </w:pPr>
      <w:r>
        <w:rPr>
          <w:rFonts w:ascii="Arial" w:cs="Arial" w:eastAsia="Arial" w:hAnsi="Arial"/>
          <w:sz w:val="24"/>
          <w:szCs w:val="24"/>
        </w:rPr>
        <w:t xml:space="preserve">Diskutera källkritiska frågor i analytisk form (mål 3)</w:t>
      </w:r>
    </w:p>
    <w:p>
      <w:pPr>
        <w:spacing w:after="60"/>
      </w:pPr>
    </w:p>
    <w:p>
      <w:pPr>
        <w:spacing w:after="120"/>
      </w:pPr>
      <w:r>
        <w:rPr>
          <w:rFonts w:ascii="Arial" w:cs="Arial" w:eastAsia="Arial" w:hAnsi="Arial"/>
          <w:b/>
          <w:bCs/>
          <w:sz w:val="24"/>
          <w:szCs w:val="24"/>
        </w:rPr>
        <w:t xml:space="preserve">E: </w:t>
      </w:r>
      <w:r>
        <w:rPr>
          <w:rFonts w:ascii="Arial" w:cs="Arial" w:eastAsia="Arial" w:hAnsi="Arial"/>
          <w:sz w:val="24"/>
          <w:szCs w:val="24"/>
        </w:rPr>
        <w:t xml:space="preserve">Eleven för enkla resonemang utifrån sitt tilldelade perspektiv och visar översiktligt på kopplingar mellan källkritiska begrepp och konspirationsteoriers spridning. Eleven lyssnar på andra deltagare och ger enkla kommentarer som anknyter till diskussionen. Eleven använder tredjepersons-framing i någon mån — det vill säga analyserar varför någon kan finna ett påstående övertygande snarare än att uttrycka personliga åsikter. Eleven uttrycker sig med viss språklig säkerhet i den muntliga framställningen.</w:t>
      </w:r>
    </w:p>
    <w:p>
      <w:pPr>
        <w:spacing w:after="120"/>
      </w:pPr>
      <w:r>
        <w:rPr>
          <w:rFonts w:ascii="Arial" w:cs="Arial" w:eastAsia="Arial" w:hAnsi="Arial"/>
          <w:b/>
          <w:bCs/>
          <w:sz w:val="24"/>
          <w:szCs w:val="24"/>
        </w:rPr>
        <w:t xml:space="preserve">C: </w:t>
      </w:r>
      <w:r>
        <w:rPr>
          <w:rFonts w:ascii="Arial" w:cs="Arial" w:eastAsia="Arial" w:hAnsi="Arial"/>
          <w:sz w:val="24"/>
          <w:szCs w:val="24"/>
        </w:rPr>
        <w:t xml:space="preserve">Eleven för välgrundade resonemang utifrån sitt tilldelade perspektiv och gör en utförlig analys av kopplingar mellan källkritiska begrepp, konspirationsteoriers psykologi och AI:s roll i spridningen, med visst kritiskt perspektiv. Eleven lyssnar aktivt på andra deltagare, ställer fördjupande frågor och bygger vidare på andras resonemang med egna välgrundade argument. Eleven använder tredjepersons-framing konsekvent genom hela diskussionen och visar på samband mellan olika perspektiv. Eleven uttrycker sig med relativt god språklig säkerhet och anpassar sitt språk till den akademiska diskussionsformen.</w:t>
      </w:r>
    </w:p>
    <w:p>
      <w:pPr>
        <w:spacing w:after="120"/>
      </w:pPr>
      <w:r>
        <w:rPr>
          <w:rFonts w:ascii="Arial" w:cs="Arial" w:eastAsia="Arial" w:hAnsi="Arial"/>
          <w:b/>
          <w:bCs/>
          <w:sz w:val="24"/>
          <w:szCs w:val="24"/>
        </w:rPr>
        <w:t xml:space="preserve">A: </w:t>
      </w:r>
      <w:r>
        <w:rPr>
          <w:rFonts w:ascii="Arial" w:cs="Arial" w:eastAsia="Arial" w:hAnsi="Arial"/>
          <w:sz w:val="24"/>
          <w:szCs w:val="24"/>
        </w:rPr>
        <w:t xml:space="preserve">Eleven för välgrundade och nyanserade resonemang utifrån sitt tilldelade perspektiv och gör en utförlig och nyanserad analys av kopplingar mellan källkritiska begrepp, konspirationsteoriers psykologi och AI:s roll i spridningen, ur flera perspektiv och med ett kritiskt förhållningssätt. Eleven lyssnar aktivt, ställer fördjupande frågor som driver diskussionen framåt och syntetiserar andras resonemang med egna komplexa kopplingar. Eleven använder tredjepersons-framing genomgående och kan reflektera över varför denna analytiska hållning är viktig. Eleven uttrycker sig med god språklig säkerhet och bidrar till att höja den analytiska nivån i gruppen.</w:t>
      </w:r>
    </w:p>
    <w:p>
      <w:pPr>
        <w:pStyle w:val="Heading2"/>
        <w:spacing w:after="120" w:before="240"/>
      </w:pPr>
      <w:r>
        <w:rPr>
          <w:rFonts w:ascii="Arial" w:cs="Arial" w:eastAsia="Arial" w:hAnsi="Arial"/>
          <w:b/>
          <w:bCs/>
          <w:sz w:val="28"/>
          <w:szCs w:val="28"/>
        </w:rPr>
        <w:t xml:space="preserve">Centralt innehåll (Gy11)</w:t>
      </w:r>
    </w:p>
    <w:p>
      <w:pPr>
        <w:pStyle w:val="ListParagraph"/>
        <w:numPr>
          <w:ilvl w:val="0"/>
          <w:numId w:val="2"/>
        </w:numPr>
        <w:spacing w:after="60"/>
      </w:pPr>
      <w:r>
        <w:rPr>
          <w:rFonts w:ascii="Arial" w:cs="Arial" w:eastAsia="Arial" w:hAnsi="Arial"/>
          <w:sz w:val="24"/>
          <w:szCs w:val="24"/>
        </w:rPr>
        <w:t xml:space="preserve">Källkritisk granskning, tolkning och värdering av information från olika källor och medier i digital och annan form i arbetet med komplexa samhällsfrågor.</w:t>
      </w:r>
    </w:p>
    <w:p>
      <w:pPr>
        <w:pStyle w:val="ListParagraph"/>
        <w:numPr>
          <w:ilvl w:val="0"/>
          <w:numId w:val="2"/>
        </w:numPr>
        <w:spacing w:after="60"/>
      </w:pPr>
      <w:r>
        <w:rPr>
          <w:rFonts w:ascii="Arial" w:cs="Arial" w:eastAsia="Arial" w:hAnsi="Arial"/>
          <w:sz w:val="24"/>
          <w:szCs w:val="24"/>
        </w:rPr>
        <w:t xml:space="preserve">Hur propaganda, desinformation och konspirationsteorier fungerar som påverkansformer i det digitala medielandskapet.</w:t>
      </w:r>
    </w:p>
    <w:p>
      <w:pPr>
        <w:pStyle w:val="Heading2"/>
        <w:spacing w:after="120" w:before="240"/>
      </w:pPr>
      <w:r>
        <w:rPr>
          <w:rFonts w:ascii="Arial" w:cs="Arial" w:eastAsia="Arial" w:hAnsi="Arial"/>
          <w:b/>
          <w:bCs/>
          <w:sz w:val="28"/>
          <w:szCs w:val="28"/>
        </w:rPr>
        <w:t xml:space="preserve">Förberedelse</w:t>
      </w:r>
    </w:p>
    <w:p>
      <w:pPr>
        <w:pStyle w:val="ListParagraph"/>
        <w:numPr>
          <w:ilvl w:val="0"/>
          <w:numId w:val="2"/>
        </w:numPr>
        <w:spacing w:after="60"/>
      </w:pPr>
      <w:r>
        <w:rPr>
          <w:rFonts w:ascii="Arial" w:cs="Arial" w:eastAsia="Arial" w:hAnsi="Arial"/>
          <w:sz w:val="24"/>
          <w:szCs w:val="24"/>
        </w:rPr>
        <w:t xml:space="preserve">Dela in eleverna i smågrupper om 4–5 elever i förväg</w:t>
      </w:r>
    </w:p>
    <w:p>
      <w:pPr>
        <w:pStyle w:val="ListParagraph"/>
        <w:numPr>
          <w:ilvl w:val="0"/>
          <w:numId w:val="2"/>
        </w:numPr>
        <w:spacing w:after="60"/>
      </w:pPr>
      <w:r>
        <w:rPr>
          <w:rFonts w:ascii="Arial" w:cs="Arial" w:eastAsia="Arial" w:hAnsi="Arial"/>
          <w:sz w:val="24"/>
          <w:szCs w:val="24"/>
        </w:rPr>
        <w:t xml:space="preserve">Tilldela varje elev ett perspektiv/roll (se bilaga 2) — INGEN elev väljer själv</w:t>
      </w:r>
    </w:p>
    <w:p>
      <w:pPr>
        <w:pStyle w:val="ListParagraph"/>
        <w:numPr>
          <w:ilvl w:val="0"/>
          <w:numId w:val="2"/>
        </w:numPr>
        <w:spacing w:after="60"/>
      </w:pPr>
      <w:r>
        <w:rPr>
          <w:rFonts w:ascii="Arial" w:cs="Arial" w:eastAsia="Arial" w:hAnsi="Arial"/>
          <w:sz w:val="24"/>
          <w:szCs w:val="24"/>
        </w:rPr>
        <w:t xml:space="preserve">Välj EN av seminariefrågeställningarna (se bilaga 1)</w:t>
      </w:r>
    </w:p>
    <w:p>
      <w:pPr>
        <w:pStyle w:val="ListParagraph"/>
        <w:numPr>
          <w:ilvl w:val="0"/>
          <w:numId w:val="2"/>
        </w:numPr>
        <w:spacing w:after="60"/>
      </w:pPr>
      <w:r>
        <w:rPr>
          <w:rFonts w:ascii="Arial" w:cs="Arial" w:eastAsia="Arial" w:hAnsi="Arial"/>
          <w:sz w:val="24"/>
          <w:szCs w:val="24"/>
        </w:rPr>
        <w:t xml:space="preserve">Skriv ut rollkort (bilaga 2) — ett per elev</w:t>
      </w:r>
    </w:p>
    <w:p>
      <w:pPr>
        <w:pStyle w:val="ListParagraph"/>
        <w:numPr>
          <w:ilvl w:val="0"/>
          <w:numId w:val="2"/>
        </w:numPr>
        <w:spacing w:after="60"/>
      </w:pPr>
      <w:r>
        <w:rPr>
          <w:rFonts w:ascii="Arial" w:cs="Arial" w:eastAsia="Arial" w:hAnsi="Arial"/>
          <w:sz w:val="24"/>
          <w:szCs w:val="24"/>
        </w:rPr>
        <w:t xml:space="preserve">Skriv ut bedömningsmatrisen (bilaga 3) — ett per elev</w:t>
      </w:r>
    </w:p>
    <w:p>
      <w:pPr>
        <w:pStyle w:val="ListParagraph"/>
        <w:numPr>
          <w:ilvl w:val="0"/>
          <w:numId w:val="2"/>
        </w:numPr>
        <w:spacing w:after="60"/>
      </w:pPr>
      <w:r>
        <w:rPr>
          <w:rFonts w:ascii="Arial" w:cs="Arial" w:eastAsia="Arial" w:hAnsi="Arial"/>
          <w:sz w:val="24"/>
          <w:szCs w:val="24"/>
        </w:rPr>
        <w:t xml:space="preserve">Förbered observationsprotokoll (bilaga 4) — ett per grupp</w:t>
      </w:r>
    </w:p>
    <w:p>
      <w:pPr>
        <w:pStyle w:val="ListParagraph"/>
        <w:numPr>
          <w:ilvl w:val="0"/>
          <w:numId w:val="2"/>
        </w:numPr>
        <w:spacing w:after="60"/>
      </w:pPr>
      <w:r>
        <w:rPr>
          <w:rFonts w:ascii="Arial" w:cs="Arial" w:eastAsia="Arial" w:hAnsi="Arial"/>
          <w:sz w:val="24"/>
          <w:szCs w:val="24"/>
        </w:rPr>
        <w:t xml:space="preserve">Säkerställ inspelningsutrustning (ljud) — en enhet per grupp</w:t>
      </w:r>
    </w:p>
    <w:p>
      <w:pPr>
        <w:pStyle w:val="ListParagraph"/>
        <w:numPr>
          <w:ilvl w:val="0"/>
          <w:numId w:val="2"/>
        </w:numPr>
        <w:spacing w:after="60"/>
      </w:pPr>
      <w:r>
        <w:rPr>
          <w:rFonts w:ascii="Arial" w:cs="Arial" w:eastAsia="Arial" w:hAnsi="Arial"/>
          <w:sz w:val="24"/>
          <w:szCs w:val="24"/>
        </w:rPr>
        <w:t xml:space="preserve">Informera eleverna i förväg att seminariet spelas in (ljud) för bedömning</w:t>
      </w:r>
    </w:p>
    <w:p>
      <w:pPr>
        <w:pStyle w:val="ListParagraph"/>
        <w:numPr>
          <w:ilvl w:val="0"/>
          <w:numId w:val="2"/>
        </w:numPr>
        <w:spacing w:after="60"/>
      </w:pPr>
      <w:r>
        <w:rPr>
          <w:rFonts w:ascii="Arial" w:cs="Arial" w:eastAsia="Arial" w:hAnsi="Arial"/>
          <w:sz w:val="24"/>
          <w:szCs w:val="24"/>
        </w:rPr>
        <w:t xml:space="preserve">Säkerställ samtycke för inspelning enligt skolans rutiner</w:t>
      </w:r>
    </w:p>
    <w:p>
      <w:pPr>
        <w:pStyle w:val="ListParagraph"/>
        <w:numPr>
          <w:ilvl w:val="0"/>
          <w:numId w:val="2"/>
        </w:numPr>
        <w:spacing w:after="60"/>
      </w:pPr>
      <w:r>
        <w:rPr>
          <w:rFonts w:ascii="Arial" w:cs="Arial" w:eastAsia="Arial" w:hAnsi="Arial"/>
          <w:sz w:val="24"/>
          <w:szCs w:val="24"/>
        </w:rPr>
        <w:t xml:space="preserve">Ha lärandemålet synligt på tavlan under hela lektionen</w:t>
      </w:r>
    </w:p>
    <w:p>
      <w:pPr>
        <w:pStyle w:val="Heading2"/>
        <w:spacing w:after="120" w:before="240"/>
      </w:pPr>
      <w:r>
        <w:rPr>
          <w:rFonts w:ascii="Arial" w:cs="Arial" w:eastAsia="Arial" w:hAnsi="Arial"/>
          <w:b/>
          <w:bCs/>
          <w:sz w:val="28"/>
          <w:szCs w:val="28"/>
        </w:rPr>
        <w:t xml:space="preserve">Tidsplanering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1300"/>
        <w:gridCol w:w="2200"/>
        <w:gridCol w:w="4526"/>
      </w:tblGrid>
      <w:tr>
        <w:tc>
          <w:tcPr>
            <w:tcW w:type="dxa" w:w="10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Tid</w:t>
            </w:r>
          </w:p>
        </w:tc>
        <w:tc>
          <w:tcPr>
            <w:tcW w:type="dxa" w:w="13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Fas</w:t>
            </w:r>
          </w:p>
        </w:tc>
        <w:tc>
          <w:tcPr>
            <w:tcW w:type="dxa" w:w="22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Aktivitet</w:t>
            </w:r>
          </w:p>
        </w:tc>
        <w:tc>
          <w:tcPr>
            <w:tcW w:type="dxa" w:w="4526"/>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Beskrivning</w:t>
            </w:r>
          </w:p>
        </w:tc>
      </w:tr>
      <w:tr>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0–8 min</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Retrieval review</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Repetition inför seminarium</w:t>
            </w:r>
          </w:p>
        </w:tc>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Repetition av tredjepersons-framing: läraren visar exempelformuleringar från tredjepersons-framing.md. Kort påminnelse om analytiska perspektiv. Påminnelse om seminariets norm: vi analyserar varför någon KAN finna något övertygande.</w:t>
            </w:r>
          </w:p>
        </w:tc>
      </w:tr>
      <w:tr>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8–13 min</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Instruktion</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Frågeställning, roller och praktisk info</w:t>
            </w:r>
          </w:p>
        </w:tc>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Presentera seminariefrågeställningen (bilaga 1). Dela ut rollkort (bilaga 2). Påminn: tredjepersons-framing är obligatorisk. Praktisk info: seminariet spelas in (ljud) för efterbedömning. Dela ut bedömningsmatrisen (bilaga 3).</w:t>
            </w:r>
          </w:p>
        </w:tc>
      </w:tr>
      <w:tr>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13–68 min</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Seminarium</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Smågrupps-seminarium (55 min)</w:t>
            </w:r>
          </w:p>
        </w:tc>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Seminarium i smågrupper om 4–5 elever. Varje elev analyserar utifrån sitt tilldelade perspektiv. Läraren observerar, noterar och spelar in. Facilitering vid behov: “Nu vill jag höra från [perspektiv]-experten.” Equity-safeguards aktiva genom hela seminariet.</w:t>
            </w:r>
          </w:p>
        </w:tc>
      </w:tr>
      <w:tr>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68–80 min</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Avslut</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Sammanfattning och reflektion</w:t>
            </w:r>
          </w:p>
        </w:tc>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Läraren sammanfattar viktiga insikter från seminarierna. INGEN exit ticket (summativ bedömning). Kort reflektion: “Vad tar ni med er från detta moment?” Avslutning av momentet.</w:t>
            </w:r>
          </w:p>
        </w:tc>
      </w:tr>
    </w:tbl>
    <w:p>
      <w:pPr>
        <w:pStyle w:val="Heading2"/>
        <w:spacing w:after="120" w:before="240"/>
      </w:pPr>
      <w:r>
        <w:rPr>
          <w:rFonts w:ascii="Arial" w:cs="Arial" w:eastAsia="Arial" w:hAnsi="Arial"/>
          <w:b/>
          <w:bCs/>
          <w:sz w:val="28"/>
          <w:szCs w:val="28"/>
        </w:rPr>
        <w:t xml:space="preserve">Lärarinstruktioner</w:t>
      </w:r>
    </w:p>
    <w:p>
      <w:pPr>
        <w:pStyle w:val="Heading3"/>
        <w:spacing w:after="80" w:before="180"/>
      </w:pPr>
      <w:r>
        <w:rPr>
          <w:rFonts w:ascii="Arial" w:cs="Arial" w:eastAsia="Arial" w:hAnsi="Arial"/>
          <w:b/>
          <w:bCs/>
          <w:sz w:val="26"/>
          <w:szCs w:val="26"/>
        </w:rPr>
        <w:t xml:space="preserve">Fas 1: Retrieval review inför seminarium (0–8 min)</w:t>
      </w:r>
    </w:p>
    <w:p>
      <w:pPr>
        <w:spacing w:after="120"/>
      </w:pPr>
      <w:r>
        <w:rPr>
          <w:rFonts w:ascii="Arial" w:cs="Arial" w:eastAsia="Arial" w:hAnsi="Arial"/>
          <w:b/>
          <w:bCs/>
          <w:sz w:val="24"/>
          <w:szCs w:val="24"/>
        </w:rPr>
        <w:t xml:space="preserve">Tredjepersons-framing-repetition (0–5 min): </w:t>
      </w:r>
      <w:r>
        <w:rPr>
          <w:rFonts w:ascii="Arial" w:cs="Arial" w:eastAsia="Arial" w:hAnsi="Arial"/>
          <w:sz w:val="24"/>
          <w:szCs w:val="24"/>
        </w:rPr>
        <w:t xml:space="preserve"/>
      </w:r>
    </w:p>
    <w:p>
      <w:pPr>
        <w:spacing w:after="120"/>
      </w:pPr>
      <w:r>
        <w:rPr>
          <w:rFonts w:ascii="Arial" w:cs="Arial" w:eastAsia="Arial" w:hAnsi="Arial"/>
          <w:i/>
          <w:iCs/>
          <w:sz w:val="24"/>
          <w:szCs w:val="24"/>
        </w:rPr>
        <w:t xml:space="preserve">Säg: “Innan vi börjar seminariet — en viktig påminnelse. Under hela momentet har vi använt tredjepersons-framing. Låt oss repetera vad det innebär.”</w:t>
      </w:r>
    </w:p>
    <w:p>
      <w:pPr>
        <w:spacing w:after="60"/>
      </w:pPr>
    </w:p>
    <w:p>
      <w:pPr>
        <w:spacing w:after="120"/>
      </w:pPr>
      <w:r>
        <w:rPr>
          <w:rFonts w:ascii="Arial" w:cs="Arial" w:eastAsia="Arial" w:hAnsi="Arial"/>
          <w:sz w:val="24"/>
          <w:szCs w:val="24"/>
        </w:rPr>
        <w:t xml:space="preserve">Skriv på tavlan:</w:t>
      </w:r>
    </w:p>
    <w:p>
      <w:pPr>
        <w:spacing w:after="120"/>
      </w:pPr>
      <w:r>
        <w:rPr>
          <w:rFonts w:ascii="Arial" w:cs="Arial" w:eastAsia="Arial" w:hAnsi="Arial"/>
          <w:i/>
          <w:iCs/>
          <w:sz w:val="24"/>
          <w:szCs w:val="24"/>
        </w:rPr>
        <w:t xml:space="preserve">“Vi frågar inte: Tror du på detta?”</w:t>
      </w:r>
    </w:p>
    <w:p>
      <w:pPr>
        <w:spacing w:after="120"/>
      </w:pPr>
      <w:r>
        <w:rPr>
          <w:rFonts w:ascii="Arial" w:cs="Arial" w:eastAsia="Arial" w:hAnsi="Arial"/>
          <w:i/>
          <w:iCs/>
          <w:sz w:val="24"/>
          <w:szCs w:val="24"/>
        </w:rPr>
        <w:t xml:space="preserve">“Vi frågar: Varför KAN någon finna detta övertygande?”</w:t>
      </w:r>
    </w:p>
    <w:p>
      <w:pPr>
        <w:spacing w:after="60"/>
      </w:pPr>
    </w:p>
    <w:p>
      <w:pPr>
        <w:spacing w:after="120"/>
      </w:pPr>
      <w:r>
        <w:rPr>
          <w:rFonts w:ascii="Arial" w:cs="Arial" w:eastAsia="Arial" w:hAnsi="Arial"/>
          <w:sz w:val="24"/>
          <w:szCs w:val="24"/>
        </w:rPr>
        <w:t xml:space="preserve">Visa 2–3 exempelformuleringar:</w:t>
      </w:r>
    </w:p>
    <w:p>
      <w:pPr>
        <w:pStyle w:val="ListParagraph"/>
        <w:numPr>
          <w:ilvl w:val="0"/>
          <w:numId w:val="2"/>
        </w:numPr>
        <w:spacing w:after="60"/>
      </w:pPr>
      <w:r>
        <w:rPr>
          <w:rFonts w:ascii="Arial" w:cs="Arial" w:eastAsia="Arial" w:hAnsi="Arial"/>
          <w:sz w:val="24"/>
          <w:szCs w:val="24"/>
        </w:rPr>
        <w:t xml:space="preserve">“Utifrån ett psykologiskt perspektiv kan man förstå att...”</w:t>
      </w:r>
    </w:p>
    <w:p>
      <w:pPr>
        <w:pStyle w:val="ListParagraph"/>
        <w:numPr>
          <w:ilvl w:val="0"/>
          <w:numId w:val="2"/>
        </w:numPr>
        <w:spacing w:after="60"/>
      </w:pPr>
      <w:r>
        <w:rPr>
          <w:rFonts w:ascii="Arial" w:cs="Arial" w:eastAsia="Arial" w:hAnsi="Arial"/>
          <w:sz w:val="24"/>
          <w:szCs w:val="24"/>
        </w:rPr>
        <w:t xml:space="preserve">“Den som möter denna information utan förkunskap kan finna den övertygande eftersom...”</w:t>
      </w:r>
    </w:p>
    <w:p>
      <w:pPr>
        <w:pStyle w:val="ListParagraph"/>
        <w:numPr>
          <w:ilvl w:val="0"/>
          <w:numId w:val="2"/>
        </w:numPr>
        <w:spacing w:after="60"/>
      </w:pPr>
      <w:r>
        <w:rPr>
          <w:rFonts w:ascii="Arial" w:cs="Arial" w:eastAsia="Arial" w:hAnsi="Arial"/>
          <w:sz w:val="24"/>
          <w:szCs w:val="24"/>
        </w:rPr>
        <w:t xml:space="preserve">“En möjlig förklaring till att människor attraheras av denna typ av berättelser är att...”</w:t>
      </w:r>
    </w:p>
    <w:p>
      <w:pPr>
        <w:spacing w:after="60"/>
      </w:pPr>
    </w:p>
    <w:p>
      <w:pPr>
        <w:spacing w:after="120"/>
      </w:pPr>
      <w:r>
        <w:rPr>
          <w:rFonts w:ascii="Arial" w:cs="Arial" w:eastAsia="Arial" w:hAnsi="Arial"/>
          <w:b/>
          <w:bCs/>
          <w:sz w:val="24"/>
          <w:szCs w:val="24"/>
        </w:rPr>
        <w:t xml:space="preserve">Analytiska perspektiv (5–8 min): </w:t>
      </w:r>
      <w:r>
        <w:rPr>
          <w:rFonts w:ascii="Arial" w:cs="Arial" w:eastAsia="Arial" w:hAnsi="Arial"/>
          <w:sz w:val="24"/>
          <w:szCs w:val="24"/>
        </w:rPr>
        <w:t xml:space="preserve"/>
      </w:r>
    </w:p>
    <w:p>
      <w:pPr>
        <w:spacing w:after="120"/>
      </w:pPr>
      <w:r>
        <w:rPr>
          <w:rFonts w:ascii="Arial" w:cs="Arial" w:eastAsia="Arial" w:hAnsi="Arial"/>
          <w:i/>
          <w:iCs/>
          <w:sz w:val="24"/>
          <w:szCs w:val="24"/>
        </w:rPr>
        <w:t xml:space="preserve">Säg: “Ni har arbetat med källkritiska verktyg, konspirationsteoriers psykologi och AI:s roll under hela momentet. Idag ska ni använda allt detta i en analytisk diskussion. Kom ihåg — det handlar inte om att ha rätt, utan om att resonera väl.”</w:t>
      </w:r>
    </w:p>
    <w:p>
      <w:pPr>
        <w:pStyle w:val="Heading3"/>
        <w:spacing w:after="80" w:before="180"/>
      </w:pPr>
      <w:r>
        <w:rPr>
          <w:rFonts w:ascii="Arial" w:cs="Arial" w:eastAsia="Arial" w:hAnsi="Arial"/>
          <w:b/>
          <w:bCs/>
          <w:sz w:val="26"/>
          <w:szCs w:val="26"/>
        </w:rPr>
        <w:t xml:space="preserve">Fas 2: Frågeställning, roller och praktisk info (8–13 min)</w:t>
      </w:r>
    </w:p>
    <w:p>
      <w:pPr>
        <w:spacing w:after="120"/>
      </w:pPr>
      <w:r>
        <w:rPr>
          <w:rFonts w:ascii="Arial" w:cs="Arial" w:eastAsia="Arial" w:hAnsi="Arial"/>
          <w:i/>
          <w:iCs/>
          <w:sz w:val="24"/>
          <w:szCs w:val="24"/>
        </w:rPr>
        <w:t xml:space="preserve">Säg: “Nu till dagens examination. Ni ska delta i ett seminarium i smågrupper. Varje grupp har samma frågeställning, men ni har olika perspektiv.”</w:t>
      </w:r>
    </w:p>
    <w:p>
      <w:pPr>
        <w:spacing w:after="60"/>
      </w:pPr>
    </w:p>
    <w:p>
      <w:pPr>
        <w:spacing w:after="120"/>
      </w:pPr>
      <w:r>
        <w:rPr>
          <w:rFonts w:ascii="Arial" w:cs="Arial" w:eastAsia="Arial" w:hAnsi="Arial"/>
          <w:sz w:val="24"/>
          <w:szCs w:val="24"/>
        </w:rPr>
        <w:t xml:space="preserve">Skriv seminariefrågeställningen på tavlan (väld EN från bilaga 1).</w:t>
      </w:r>
    </w:p>
    <w:p>
      <w:pPr>
        <w:spacing w:after="60"/>
      </w:pPr>
    </w:p>
    <w:p>
      <w:pPr>
        <w:spacing w:after="120"/>
      </w:pPr>
      <w:r>
        <w:rPr>
          <w:rFonts w:ascii="Arial" w:cs="Arial" w:eastAsia="Arial" w:hAnsi="Arial"/>
          <w:sz w:val="24"/>
          <w:szCs w:val="24"/>
        </w:rPr>
        <w:t xml:space="preserve">Dela ut rollkort (bilaga 2) och bedömningsmatrisen (bilaga 3).</w:t>
      </w:r>
    </w:p>
    <w:p>
      <w:pPr>
        <w:spacing w:after="60"/>
      </w:pPr>
    </w:p>
    <w:p>
      <w:pPr>
        <w:spacing w:after="120"/>
      </w:pPr>
      <w:r>
        <w:rPr>
          <w:rFonts w:ascii="Arial" w:cs="Arial" w:eastAsia="Arial" w:hAnsi="Arial"/>
          <w:b/>
          <w:bCs/>
          <w:sz w:val="24"/>
          <w:szCs w:val="24"/>
        </w:rPr>
        <w:t xml:space="preserve">Gå igenom praktiska ramar: </w:t>
      </w:r>
      <w:r>
        <w:rPr>
          <w:rFonts w:ascii="Arial" w:cs="Arial" w:eastAsia="Arial" w:hAnsi="Arial"/>
          <w:sz w:val="24"/>
          <w:szCs w:val="24"/>
        </w:rPr>
        <w:t xml:space="preserve"/>
      </w:r>
    </w:p>
    <w:p>
      <w:pPr>
        <w:pStyle w:val="ListParagraph"/>
        <w:numPr>
          <w:ilvl w:val="0"/>
          <w:numId w:val="2"/>
        </w:numPr>
        <w:spacing w:after="60"/>
      </w:pPr>
      <w:r>
        <w:rPr>
          <w:rFonts w:ascii="Arial" w:cs="Arial" w:eastAsia="Arial" w:hAnsi="Arial"/>
          <w:sz w:val="24"/>
          <w:szCs w:val="24"/>
        </w:rPr>
        <w:t xml:space="preserve">Ni diskuterar i 55 minuter</w:t>
      </w:r>
    </w:p>
    <w:p>
      <w:pPr>
        <w:pStyle w:val="ListParagraph"/>
        <w:numPr>
          <w:ilvl w:val="0"/>
          <w:numId w:val="2"/>
        </w:numPr>
        <w:spacing w:after="60"/>
      </w:pPr>
      <w:r>
        <w:rPr>
          <w:rFonts w:ascii="Arial" w:cs="Arial" w:eastAsia="Arial" w:hAnsi="Arial"/>
          <w:sz w:val="24"/>
          <w:szCs w:val="24"/>
        </w:rPr>
        <w:t xml:space="preserve">Alla ska bidra utifrån sitt tilldelade perspektiv</w:t>
      </w:r>
    </w:p>
    <w:p>
      <w:pPr>
        <w:pStyle w:val="ListParagraph"/>
        <w:numPr>
          <w:ilvl w:val="0"/>
          <w:numId w:val="2"/>
        </w:numPr>
        <w:spacing w:after="60"/>
      </w:pPr>
      <w:r>
        <w:rPr>
          <w:rFonts w:ascii="Arial" w:cs="Arial" w:eastAsia="Arial" w:hAnsi="Arial"/>
          <w:sz w:val="24"/>
          <w:szCs w:val="24"/>
        </w:rPr>
        <w:t xml:space="preserve">Tredjepersons-framing är obligatorisk — analysera, uttryck inte personliga åsikter</w:t>
      </w:r>
    </w:p>
    <w:p>
      <w:pPr>
        <w:pStyle w:val="ListParagraph"/>
        <w:numPr>
          <w:ilvl w:val="0"/>
          <w:numId w:val="2"/>
        </w:numPr>
        <w:spacing w:after="60"/>
      </w:pPr>
      <w:r>
        <w:rPr>
          <w:rFonts w:ascii="Arial" w:cs="Arial" w:eastAsia="Arial" w:hAnsi="Arial"/>
          <w:sz w:val="24"/>
          <w:szCs w:val="24"/>
        </w:rPr>
        <w:t xml:space="preserve">Seminariet spelas in (ljud) så att jag kan bedöma i efterhand</w:t>
      </w:r>
    </w:p>
    <w:p>
      <w:pPr>
        <w:pStyle w:val="ListParagraph"/>
        <w:numPr>
          <w:ilvl w:val="0"/>
          <w:numId w:val="2"/>
        </w:numPr>
        <w:spacing w:after="60"/>
      </w:pPr>
      <w:r>
        <w:rPr>
          <w:rFonts w:ascii="Arial" w:cs="Arial" w:eastAsia="Arial" w:hAnsi="Arial"/>
          <w:sz w:val="24"/>
          <w:szCs w:val="24"/>
        </w:rPr>
        <w:t xml:space="preserve">Lyssna på varandra, ställ frågor, bygg vidare på andras resonemang</w:t>
      </w:r>
    </w:p>
    <w:p>
      <w:pPr>
        <w:spacing w:after="60"/>
      </w:pPr>
    </w:p>
    <w:p>
      <w:pPr>
        <w:spacing w:after="120"/>
      </w:pPr>
      <w:r>
        <w:rPr>
          <w:rFonts w:ascii="Arial" w:cs="Arial" w:eastAsia="Arial" w:hAnsi="Arial"/>
          <w:i/>
          <w:iCs/>
          <w:sz w:val="24"/>
          <w:szCs w:val="24"/>
        </w:rPr>
        <w:t xml:space="preserve">“Läs igenom ert rollkort. Ni har 1 minut att tänka igenom ert perspektiv innan vi börjar.”</w:t>
      </w:r>
    </w:p>
    <w:p>
      <w:pPr>
        <w:pStyle w:val="Heading3"/>
        <w:spacing w:after="80" w:before="180"/>
      </w:pPr>
      <w:r>
        <w:rPr>
          <w:rFonts w:ascii="Arial" w:cs="Arial" w:eastAsia="Arial" w:hAnsi="Arial"/>
          <w:b/>
          <w:bCs/>
          <w:sz w:val="26"/>
          <w:szCs w:val="26"/>
        </w:rPr>
        <w:t xml:space="preserve">Fas 3+4+5: Seminariets genomförande (13–68 min)</w:t>
      </w:r>
    </w:p>
    <w:p>
      <w:pPr>
        <w:spacing w:after="120"/>
      </w:pPr>
      <w:r>
        <w:rPr>
          <w:rFonts w:ascii="Arial" w:cs="Arial" w:eastAsia="Arial" w:hAnsi="Arial"/>
          <w:sz w:val="24"/>
          <w:szCs w:val="24"/>
        </w:rPr>
        <w:t xml:space="preserve">55 minuter seminarium i smågrupper. Läraren:</w:t>
      </w:r>
    </w:p>
    <w:p>
      <w:pPr>
        <w:spacing w:after="60"/>
      </w:pPr>
    </w:p>
    <w:p>
      <w:pPr>
        <w:spacing w:after="120"/>
      </w:pPr>
      <w:r>
        <w:rPr>
          <w:rFonts w:ascii="Arial" w:cs="Arial" w:eastAsia="Arial" w:hAnsi="Arial"/>
          <w:b/>
          <w:bCs/>
          <w:sz w:val="24"/>
          <w:szCs w:val="24"/>
        </w:rPr>
        <w:t xml:space="preserve">Observation och notering: </w:t>
      </w:r>
      <w:r>
        <w:rPr>
          <w:rFonts w:ascii="Arial" w:cs="Arial" w:eastAsia="Arial" w:hAnsi="Arial"/>
          <w:sz w:val="24"/>
          <w:szCs w:val="24"/>
        </w:rPr>
        <w:t xml:space="preserve"/>
      </w:r>
    </w:p>
    <w:p>
      <w:pPr>
        <w:pStyle w:val="ListParagraph"/>
        <w:numPr>
          <w:ilvl w:val="0"/>
          <w:numId w:val="2"/>
        </w:numPr>
        <w:spacing w:after="60"/>
      </w:pPr>
      <w:r>
        <w:rPr>
          <w:rFonts w:ascii="Arial" w:cs="Arial" w:eastAsia="Arial" w:hAnsi="Arial"/>
          <w:sz w:val="24"/>
          <w:szCs w:val="24"/>
        </w:rPr>
        <w:t xml:space="preserve">Cirkulera mellan grupperna</w:t>
      </w:r>
    </w:p>
    <w:p>
      <w:pPr>
        <w:pStyle w:val="ListParagraph"/>
        <w:numPr>
          <w:ilvl w:val="0"/>
          <w:numId w:val="2"/>
        </w:numPr>
        <w:spacing w:after="60"/>
      </w:pPr>
      <w:r>
        <w:rPr>
          <w:rFonts w:ascii="Arial" w:cs="Arial" w:eastAsia="Arial" w:hAnsi="Arial"/>
          <w:sz w:val="24"/>
          <w:szCs w:val="24"/>
        </w:rPr>
        <w:t xml:space="preserve">Använd observationsprotokollet (bilaga 4) för att notera elevers bidrag</w:t>
      </w:r>
    </w:p>
    <w:p>
      <w:pPr>
        <w:pStyle w:val="ListParagraph"/>
        <w:numPr>
          <w:ilvl w:val="0"/>
          <w:numId w:val="2"/>
        </w:numPr>
        <w:spacing w:after="60"/>
      </w:pPr>
      <w:r>
        <w:rPr>
          <w:rFonts w:ascii="Arial" w:cs="Arial" w:eastAsia="Arial" w:hAnsi="Arial"/>
          <w:sz w:val="24"/>
          <w:szCs w:val="24"/>
        </w:rPr>
        <w:t xml:space="preserve">Säkerställ att inspelningen fungerar i varje grupp</w:t>
      </w:r>
    </w:p>
    <w:p>
      <w:pPr>
        <w:spacing w:after="60"/>
      </w:pPr>
    </w:p>
    <w:p>
      <w:pPr>
        <w:spacing w:after="120"/>
      </w:pPr>
      <w:r>
        <w:rPr>
          <w:rFonts w:ascii="Arial" w:cs="Arial" w:eastAsia="Arial" w:hAnsi="Arial"/>
          <w:b/>
          <w:bCs/>
          <w:sz w:val="24"/>
          <w:szCs w:val="24"/>
        </w:rPr>
        <w:t xml:space="preserve">Facilitering vid behov: </w:t>
      </w:r>
      <w:r>
        <w:rPr>
          <w:rFonts w:ascii="Arial" w:cs="Arial" w:eastAsia="Arial" w:hAnsi="Arial"/>
          <w:sz w:val="24"/>
          <w:szCs w:val="24"/>
        </w:rPr>
        <w:t xml:space="preserve"/>
      </w:r>
    </w:p>
    <w:p>
      <w:pPr>
        <w:pStyle w:val="ListParagraph"/>
        <w:numPr>
          <w:ilvl w:val="0"/>
          <w:numId w:val="2"/>
        </w:numPr>
        <w:spacing w:after="60"/>
      </w:pPr>
      <w:r>
        <w:rPr>
          <w:rFonts w:ascii="Arial" w:cs="Arial" w:eastAsia="Arial" w:hAnsi="Arial"/>
          <w:sz w:val="24"/>
          <w:szCs w:val="24"/>
        </w:rPr>
        <w:t xml:space="preserve">Om en elev inte hörs: “Nu vill jag höra från [perspektiv]-experten. Vad ser du utifrån ditt perspektiv?”</w:t>
      </w:r>
    </w:p>
    <w:p>
      <w:pPr>
        <w:pStyle w:val="ListParagraph"/>
        <w:numPr>
          <w:ilvl w:val="0"/>
          <w:numId w:val="2"/>
        </w:numPr>
        <w:spacing w:after="60"/>
      </w:pPr>
      <w:r>
        <w:rPr>
          <w:rFonts w:ascii="Arial" w:cs="Arial" w:eastAsia="Arial" w:hAnsi="Arial"/>
          <w:sz w:val="24"/>
          <w:szCs w:val="24"/>
        </w:rPr>
        <w:t xml:space="preserve">Om diskussionen stannar: “Finns det något perspektiv vi inte hört från än?”</w:t>
      </w:r>
    </w:p>
    <w:p>
      <w:pPr>
        <w:pStyle w:val="ListParagraph"/>
        <w:numPr>
          <w:ilvl w:val="0"/>
          <w:numId w:val="2"/>
        </w:numPr>
        <w:spacing w:after="60"/>
      </w:pPr>
      <w:r>
        <w:rPr>
          <w:rFonts w:ascii="Arial" w:cs="Arial" w:eastAsia="Arial" w:hAnsi="Arial"/>
          <w:sz w:val="24"/>
          <w:szCs w:val="24"/>
        </w:rPr>
        <w:t xml:space="preserve">Om samtalet blir ytligt: “Kan ni fördjupa det — VARFÖR är det så?”</w:t>
      </w:r>
    </w:p>
    <w:p>
      <w:pPr>
        <w:pStyle w:val="ListParagraph"/>
        <w:numPr>
          <w:ilvl w:val="0"/>
          <w:numId w:val="2"/>
        </w:numPr>
        <w:spacing w:after="60"/>
      </w:pPr>
      <w:r>
        <w:rPr>
          <w:rFonts w:ascii="Arial" w:cs="Arial" w:eastAsia="Arial" w:hAnsi="Arial"/>
          <w:sz w:val="24"/>
          <w:szCs w:val="24"/>
        </w:rPr>
        <w:t xml:space="preserve">Om elev glider mot personliga åsikter: “Låt oss istället fråga — varför kan någon som ser denna information finna den övertygande?”</w:t>
      </w:r>
    </w:p>
    <w:p>
      <w:pPr>
        <w:spacing w:after="60"/>
      </w:pPr>
    </w:p>
    <w:p>
      <w:pPr>
        <w:spacing w:after="120"/>
      </w:pPr>
      <w:r>
        <w:rPr>
          <w:rFonts w:ascii="Arial" w:cs="Arial" w:eastAsia="Arial" w:hAnsi="Arial"/>
          <w:b/>
          <w:bCs/>
          <w:sz w:val="24"/>
          <w:szCs w:val="24"/>
        </w:rPr>
        <w:t xml:space="preserve">Equity-safeguards under seminariet: </w:t>
      </w:r>
      <w:r>
        <w:rPr>
          <w:rFonts w:ascii="Arial" w:cs="Arial" w:eastAsia="Arial" w:hAnsi="Arial"/>
          <w:sz w:val="24"/>
          <w:szCs w:val="24"/>
        </w:rPr>
        <w:t xml:space="preserve"/>
      </w:r>
    </w:p>
    <w:p>
      <w:pPr>
        <w:spacing w:after="60"/>
      </w:pPr>
    </w:p>
    <w:p>
      <w:pPr>
        <w:spacing w:after="120"/>
      </w:pPr>
      <w:r>
        <w:rPr>
          <w:rFonts w:ascii="Arial" w:cs="Arial" w:eastAsia="Arial" w:hAnsi="Arial"/>
          <w:b/>
          <w:bCs/>
          <w:sz w:val="24"/>
          <w:szCs w:val="24"/>
        </w:rPr>
        <w:t xml:space="preserve">1. Tilldelade roller och perspektiv: </w:t>
      </w:r>
      <w:r>
        <w:rPr>
          <w:rFonts w:ascii="Arial" w:cs="Arial" w:eastAsia="Arial" w:hAnsi="Arial"/>
          <w:sz w:val="24"/>
          <w:szCs w:val="24"/>
        </w:rPr>
        <w:t xml:space="preserve">Perspektiven är fördelade av läraren. Ingen elev väljer själv. Eleverna analyserar utifrån sitt perspektiv — de “äger” inte åsikten.</w:t>
      </w:r>
    </w:p>
    <w:p>
      <w:pPr>
        <w:spacing w:after="120"/>
      </w:pPr>
      <w:r>
        <w:rPr>
          <w:rFonts w:ascii="Arial" w:cs="Arial" w:eastAsia="Arial" w:hAnsi="Arial"/>
          <w:b/>
          <w:bCs/>
          <w:sz w:val="24"/>
          <w:szCs w:val="24"/>
        </w:rPr>
        <w:t xml:space="preserve">2. Tredjepersons-framing obligatorisk: </w:t>
      </w:r>
      <w:r>
        <w:rPr>
          <w:rFonts w:ascii="Arial" w:cs="Arial" w:eastAsia="Arial" w:hAnsi="Arial"/>
          <w:sz w:val="24"/>
          <w:szCs w:val="24"/>
        </w:rPr>
        <w:t xml:space="preserve">Läraren har modellerat framing i fas 1. Påminn vid behov under diskussionen. Om en elev glider mot personliga åsikter, omformulera frågan: “Låt oss istället fråga — varför kan någon finna detta övertygande?”</w:t>
      </w:r>
    </w:p>
    <w:p>
      <w:pPr>
        <w:spacing w:after="120"/>
      </w:pPr>
      <w:r>
        <w:rPr>
          <w:rFonts w:ascii="Arial" w:cs="Arial" w:eastAsia="Arial" w:hAnsi="Arial"/>
          <w:b/>
          <w:bCs/>
          <w:sz w:val="24"/>
          <w:szCs w:val="24"/>
        </w:rPr>
        <w:t xml:space="preserve">3. Privat uppföljningsplan: </w:t>
      </w:r>
      <w:r>
        <w:rPr>
          <w:rFonts w:ascii="Arial" w:cs="Arial" w:eastAsia="Arial" w:hAnsi="Arial"/>
          <w:sz w:val="24"/>
          <w:szCs w:val="24"/>
        </w:rPr>
        <w:t xml:space="preserve">Observera under seminariet. Notera elever som visar tecken på obehag, stark personlig koppling till ämnet eller drar sig undan. Följ upp enskilt efter lektionen. Samtalet fokuserar på elevens upplevelse. Vid behov hänvisas till skolkurator.</w:t>
      </w:r>
    </w:p>
    <w:p>
      <w:pPr>
        <w:spacing w:after="60"/>
      </w:pPr>
    </w:p>
    <w:p>
      <w:pPr>
        <w:spacing w:after="120"/>
      </w:pPr>
      <w:r>
        <w:rPr>
          <w:rFonts w:ascii="Arial" w:cs="Arial" w:eastAsia="Arial" w:hAnsi="Arial"/>
          <w:b/>
          <w:bCs/>
          <w:sz w:val="24"/>
          <w:szCs w:val="24"/>
        </w:rPr>
        <w:t xml:space="preserve">Tidshållning: </w:t>
      </w:r>
      <w:r>
        <w:rPr>
          <w:rFonts w:ascii="Arial" w:cs="Arial" w:eastAsia="Arial" w:hAnsi="Arial"/>
          <w:sz w:val="24"/>
          <w:szCs w:val="24"/>
        </w:rPr>
        <w:t xml:space="preserve"/>
      </w:r>
    </w:p>
    <w:p>
      <w:pPr>
        <w:pStyle w:val="ListParagraph"/>
        <w:numPr>
          <w:ilvl w:val="0"/>
          <w:numId w:val="2"/>
        </w:numPr>
        <w:spacing w:after="60"/>
      </w:pPr>
      <w:r>
        <w:rPr>
          <w:rFonts w:ascii="Arial" w:cs="Arial" w:eastAsia="Arial" w:hAnsi="Arial"/>
          <w:sz w:val="24"/>
          <w:szCs w:val="24"/>
        </w:rPr>
        <w:t xml:space="preserve">“30 minuter kvar.” (vid 38 min)</w:t>
      </w:r>
    </w:p>
    <w:p>
      <w:pPr>
        <w:pStyle w:val="ListParagraph"/>
        <w:numPr>
          <w:ilvl w:val="0"/>
          <w:numId w:val="2"/>
        </w:numPr>
        <w:spacing w:after="60"/>
      </w:pPr>
      <w:r>
        <w:rPr>
          <w:rFonts w:ascii="Arial" w:cs="Arial" w:eastAsia="Arial" w:hAnsi="Arial"/>
          <w:sz w:val="24"/>
          <w:szCs w:val="24"/>
        </w:rPr>
        <w:t xml:space="preserve">“10 minuter kvar. Börja avrunda era resonemang.” (vid 58 min)</w:t>
      </w:r>
    </w:p>
    <w:p>
      <w:pPr>
        <w:pStyle w:val="ListParagraph"/>
        <w:numPr>
          <w:ilvl w:val="0"/>
          <w:numId w:val="2"/>
        </w:numPr>
        <w:spacing w:after="60"/>
      </w:pPr>
      <w:r>
        <w:rPr>
          <w:rFonts w:ascii="Arial" w:cs="Arial" w:eastAsia="Arial" w:hAnsi="Arial"/>
          <w:sz w:val="24"/>
          <w:szCs w:val="24"/>
        </w:rPr>
        <w:t xml:space="preserve">“2 minuter kvar. Sammanfatta era viktigaste insikter.” (vid 66 min)</w:t>
      </w:r>
    </w:p>
    <w:p>
      <w:pPr>
        <w:pStyle w:val="Heading3"/>
        <w:spacing w:after="80" w:before="180"/>
      </w:pPr>
      <w:r>
        <w:rPr>
          <w:rFonts w:ascii="Arial" w:cs="Arial" w:eastAsia="Arial" w:hAnsi="Arial"/>
          <w:b/>
          <w:bCs/>
          <w:sz w:val="26"/>
          <w:szCs w:val="26"/>
        </w:rPr>
        <w:t xml:space="preserve">Fas 6: Avslut och sammanfattning (68–80 min)</w:t>
      </w:r>
    </w:p>
    <w:p>
      <w:pPr>
        <w:spacing w:after="120"/>
      </w:pPr>
      <w:r>
        <w:rPr>
          <w:rFonts w:ascii="Arial" w:cs="Arial" w:eastAsia="Arial" w:hAnsi="Arial"/>
          <w:i/>
          <w:iCs/>
          <w:sz w:val="24"/>
          <w:szCs w:val="24"/>
        </w:rPr>
        <w:t xml:space="preserve">Säg: “Tack för era diskussioner. Låt oss samla de viktigaste insikterna.”</w:t>
      </w:r>
    </w:p>
    <w:p>
      <w:pPr>
        <w:spacing w:after="60"/>
      </w:pPr>
    </w:p>
    <w:p>
      <w:pPr>
        <w:spacing w:after="120"/>
      </w:pPr>
      <w:r>
        <w:rPr>
          <w:rFonts w:ascii="Arial" w:cs="Arial" w:eastAsia="Arial" w:hAnsi="Arial"/>
          <w:sz w:val="24"/>
          <w:szCs w:val="24"/>
        </w:rPr>
        <w:t xml:space="preserve">Sammanfatta kort de centrala temana du observerade:</w:t>
      </w:r>
    </w:p>
    <w:p>
      <w:pPr>
        <w:pStyle w:val="ListParagraph"/>
        <w:numPr>
          <w:ilvl w:val="0"/>
          <w:numId w:val="2"/>
        </w:numPr>
        <w:spacing w:after="60"/>
      </w:pPr>
      <w:r>
        <w:rPr>
          <w:rFonts w:ascii="Arial" w:cs="Arial" w:eastAsia="Arial" w:hAnsi="Arial"/>
          <w:sz w:val="24"/>
          <w:szCs w:val="24"/>
        </w:rPr>
        <w:t xml:space="preserve">Vilka perspektiv gav mest insikt?</w:t>
      </w:r>
    </w:p>
    <w:p>
      <w:pPr>
        <w:pStyle w:val="ListParagraph"/>
        <w:numPr>
          <w:ilvl w:val="0"/>
          <w:numId w:val="2"/>
        </w:numPr>
        <w:spacing w:after="60"/>
      </w:pPr>
      <w:r>
        <w:rPr>
          <w:rFonts w:ascii="Arial" w:cs="Arial" w:eastAsia="Arial" w:hAnsi="Arial"/>
          <w:sz w:val="24"/>
          <w:szCs w:val="24"/>
        </w:rPr>
        <w:t xml:space="preserve">Vilka kopplingar gjordes mellan perspektiven?</w:t>
      </w:r>
    </w:p>
    <w:p>
      <w:pPr>
        <w:pStyle w:val="ListParagraph"/>
        <w:numPr>
          <w:ilvl w:val="0"/>
          <w:numId w:val="2"/>
        </w:numPr>
        <w:spacing w:after="60"/>
      </w:pPr>
      <w:r>
        <w:rPr>
          <w:rFonts w:ascii="Arial" w:cs="Arial" w:eastAsia="Arial" w:hAnsi="Arial"/>
          <w:sz w:val="24"/>
          <w:szCs w:val="24"/>
        </w:rPr>
        <w:t xml:space="preserve">Var uppstod de mest intressanta meningsskiljaktigheterna?</w:t>
      </w:r>
    </w:p>
    <w:p>
      <w:pPr>
        <w:spacing w:after="60"/>
      </w:pPr>
    </w:p>
    <w:p>
      <w:pPr>
        <w:spacing w:after="120"/>
      </w:pPr>
      <w:r>
        <w:rPr>
          <w:rFonts w:ascii="Arial" w:cs="Arial" w:eastAsia="Arial" w:hAnsi="Arial"/>
          <w:b/>
          <w:bCs/>
          <w:sz w:val="24"/>
          <w:szCs w:val="24"/>
        </w:rPr>
        <w:t xml:space="preserve">INGEN exit ticket </w:t>
      </w:r>
      <w:r>
        <w:rPr>
          <w:rFonts w:ascii="Arial" w:cs="Arial" w:eastAsia="Arial" w:hAnsi="Arial"/>
          <w:sz w:val="24"/>
          <w:szCs w:val="24"/>
        </w:rPr>
        <w:t xml:space="preserve">— detta är en summativ bedömning.</w:t>
      </w:r>
    </w:p>
    <w:p>
      <w:pPr>
        <w:spacing w:after="60"/>
      </w:pPr>
    </w:p>
    <w:p>
      <w:pPr>
        <w:spacing w:after="120"/>
      </w:pPr>
      <w:r>
        <w:rPr>
          <w:rFonts w:ascii="Arial" w:cs="Arial" w:eastAsia="Arial" w:hAnsi="Arial"/>
          <w:b/>
          <w:bCs/>
          <w:sz w:val="24"/>
          <w:szCs w:val="24"/>
        </w:rPr>
        <w:t xml:space="preserve">Avslutande reflektion (75–80 min): </w:t>
      </w:r>
      <w:r>
        <w:rPr>
          <w:rFonts w:ascii="Arial" w:cs="Arial" w:eastAsia="Arial" w:hAnsi="Arial"/>
          <w:sz w:val="24"/>
          <w:szCs w:val="24"/>
        </w:rPr>
        <w:t xml:space="preserve"/>
      </w:r>
    </w:p>
    <w:p>
      <w:pPr>
        <w:spacing w:after="120"/>
      </w:pPr>
      <w:r>
        <w:rPr>
          <w:rFonts w:ascii="Arial" w:cs="Arial" w:eastAsia="Arial" w:hAnsi="Arial"/>
          <w:i/>
          <w:iCs/>
          <w:sz w:val="24"/>
          <w:szCs w:val="24"/>
        </w:rPr>
        <w:t xml:space="preserve">Säg: “Vi har nu avslutat hela momentet om källkritik, AI och konspirationsteorier. Jag vill att ni tar en minut och tänker — vad tar ni med er? Vad vet ni nu som ni inte visste när vi började?”</w:t>
      </w:r>
    </w:p>
    <w:p>
      <w:pPr>
        <w:spacing w:after="60"/>
      </w:pPr>
    </w:p>
    <w:p>
      <w:pPr>
        <w:spacing w:after="120"/>
      </w:pPr>
      <w:r>
        <w:rPr>
          <w:rFonts w:ascii="Arial" w:cs="Arial" w:eastAsia="Arial" w:hAnsi="Arial"/>
          <w:sz w:val="24"/>
          <w:szCs w:val="24"/>
        </w:rPr>
        <w:t xml:space="preserve">Låt 3–4 elever dela sina reflektioner muntligt. Ingen bedömning — detta är en avslutning.</w:t>
      </w:r>
    </w:p>
    <w:p>
      <w:pPr>
        <w:spacing w:after="60"/>
      </w:pPr>
    </w:p>
    <w:p>
      <w:pPr>
        <w:spacing w:after="120"/>
      </w:pPr>
      <w:r>
        <w:rPr>
          <w:rFonts w:ascii="Arial" w:cs="Arial" w:eastAsia="Arial" w:hAnsi="Arial"/>
          <w:i/>
          <w:iCs/>
          <w:sz w:val="24"/>
          <w:szCs w:val="24"/>
        </w:rPr>
        <w:t xml:space="preserve">“Tack för ert arbete under momentet. Ni har byggt verktyg som ni kommer ha nytta av varje gång ni möter information online.”</w:t>
      </w:r>
    </w:p>
    <w:p>
      <w:pPr>
        <w:pStyle w:val="Heading2"/>
        <w:spacing w:after="120" w:before="240"/>
      </w:pPr>
      <w:r>
        <w:rPr>
          <w:rFonts w:ascii="Arial" w:cs="Arial" w:eastAsia="Arial" w:hAnsi="Arial"/>
          <w:b/>
          <w:bCs/>
          <w:sz w:val="28"/>
          <w:szCs w:val="28"/>
        </w:rPr>
        <w:t xml:space="preserve">Elevaktiviteter</w:t>
      </w:r>
    </w:p>
    <w:p>
      <w:pPr>
        <w:pStyle w:val="ListParagraph"/>
        <w:numPr>
          <w:ilvl w:val="0"/>
          <w:numId w:val="3"/>
        </w:numPr>
        <w:spacing w:after="60"/>
      </w:pPr>
      <w:r>
        <w:rPr>
          <w:rFonts w:ascii="Arial" w:cs="Arial" w:eastAsia="Arial" w:hAnsi="Arial"/>
          <w:sz w:val="24"/>
          <w:szCs w:val="24"/>
        </w:rPr>
        <w:t xml:space="preserve">Repetition av tredjepersons-framing (helklass, 5 min)</w:t>
      </w:r>
    </w:p>
    <w:p>
      <w:pPr>
        <w:pStyle w:val="ListParagraph"/>
        <w:numPr>
          <w:ilvl w:val="0"/>
          <w:numId w:val="3"/>
        </w:numPr>
        <w:spacing w:after="60"/>
      </w:pPr>
      <w:r>
        <w:rPr>
          <w:rFonts w:ascii="Arial" w:cs="Arial" w:eastAsia="Arial" w:hAnsi="Arial"/>
          <w:sz w:val="24"/>
          <w:szCs w:val="24"/>
        </w:rPr>
        <w:t xml:space="preserve">Läsa rollkort och förbereda perspektiv (enskilt, 1 min)</w:t>
      </w:r>
    </w:p>
    <w:p>
      <w:pPr>
        <w:pStyle w:val="ListParagraph"/>
        <w:numPr>
          <w:ilvl w:val="0"/>
          <w:numId w:val="3"/>
        </w:numPr>
        <w:spacing w:after="60"/>
      </w:pPr>
      <w:r>
        <w:rPr>
          <w:rFonts w:ascii="Arial" w:cs="Arial" w:eastAsia="Arial" w:hAnsi="Arial"/>
          <w:sz w:val="24"/>
          <w:szCs w:val="24"/>
        </w:rPr>
        <w:t xml:space="preserve">Seminarium: diskussion i smågrupper (smågrupp 4–5, 55 min)</w:t>
      </w:r>
    </w:p>
    <w:p>
      <w:pPr>
        <w:pStyle w:val="ListParagraph"/>
        <w:numPr>
          <w:ilvl w:val="0"/>
          <w:numId w:val="3"/>
        </w:numPr>
        <w:spacing w:after="60"/>
      </w:pPr>
      <w:r>
        <w:rPr>
          <w:rFonts w:ascii="Arial" w:cs="Arial" w:eastAsia="Arial" w:hAnsi="Arial"/>
          <w:sz w:val="24"/>
          <w:szCs w:val="24"/>
        </w:rPr>
        <w:t xml:space="preserve">Avslutande reflektion: vad tar ni med er? (helklass, 5 min)</w:t>
      </w:r>
    </w:p>
    <w:p>
      <w:pPr>
        <w:spacing w:after="60"/>
      </w:pPr>
    </w:p>
    <w:p>
      <w:pPr>
        <w:spacing w:after="120"/>
      </w:pPr>
      <w:r>
        <w:rPr>
          <w:rFonts w:ascii="Arial" w:cs="Arial" w:eastAsia="Arial" w:hAnsi="Arial"/>
          <w:b/>
          <w:bCs/>
          <w:sz w:val="24"/>
          <w:szCs w:val="24"/>
        </w:rPr>
        <w:t xml:space="preserve">Elevaktiv tid: </w:t>
      </w:r>
      <w:r>
        <w:rPr>
          <w:rFonts w:ascii="Arial" w:cs="Arial" w:eastAsia="Arial" w:hAnsi="Arial"/>
          <w:sz w:val="24"/>
          <w:szCs w:val="24"/>
        </w:rPr>
        <w:t xml:space="preserve">ca 66 av 80 minuter (83%)</w:t>
      </w:r>
    </w:p>
    <w:p>
      <w:pPr>
        <w:pStyle w:val="Heading2"/>
        <w:spacing w:after="120" w:before="240"/>
      </w:pPr>
      <w:r>
        <w:rPr>
          <w:rFonts w:ascii="Arial" w:cs="Arial" w:eastAsia="Arial" w:hAnsi="Arial"/>
          <w:b/>
          <w:bCs/>
          <w:sz w:val="28"/>
          <w:szCs w:val="28"/>
        </w:rPr>
        <w:t xml:space="preserve">Differentiering</w:t>
      </w:r>
    </w:p>
    <w:p>
      <w:pPr>
        <w:spacing w:after="120"/>
      </w:pPr>
      <w:r>
        <w:rPr>
          <w:rFonts w:ascii="Arial" w:cs="Arial" w:eastAsia="Arial" w:hAnsi="Arial"/>
          <w:sz w:val="24"/>
          <w:szCs w:val="24"/>
        </w:rPr>
        <w:t xml:space="preserve">OBS: Detta är en summativ examination. Differentiering sker genom seminariets design, inte genom olika stödnivåer.</w:t>
      </w:r>
    </w:p>
    <w:p>
      <w:pPr>
        <w:spacing w:after="60"/>
      </w:pPr>
    </w:p>
    <w:p>
      <w:pPr>
        <w:spacing w:after="120"/>
      </w:pPr>
      <w:r>
        <w:rPr>
          <w:rFonts w:ascii="Arial" w:cs="Arial" w:eastAsia="Arial" w:hAnsi="Arial"/>
          <w:b/>
          <w:bCs/>
          <w:sz w:val="24"/>
          <w:szCs w:val="24"/>
        </w:rPr>
        <w:t xml:space="preserve">Inbyggd differentiering: </w:t>
      </w:r>
      <w:r>
        <w:rPr>
          <w:rFonts w:ascii="Arial" w:cs="Arial" w:eastAsia="Arial" w:hAnsi="Arial"/>
          <w:sz w:val="24"/>
          <w:szCs w:val="24"/>
        </w:rPr>
        <w:t xml:space="preserve">Rollkorten ger alla elever en utgångspunkt för sina resonemang. E/C/A-differentiering sker naturligt genom djupet i resonemangen, förmågan att bygga vidare på andras argument och användningen av tredjepersons-framing.</w:t>
      </w:r>
    </w:p>
    <w:p>
      <w:pPr>
        <w:spacing w:after="120"/>
      </w:pPr>
      <w:r>
        <w:rPr>
          <w:rFonts w:ascii="Arial" w:cs="Arial" w:eastAsia="Arial" w:hAnsi="Arial"/>
          <w:b/>
          <w:bCs/>
          <w:sz w:val="24"/>
          <w:szCs w:val="24"/>
        </w:rPr>
        <w:t xml:space="preserve">Faciliteringsstöd: </w:t>
      </w:r>
      <w:r>
        <w:rPr>
          <w:rFonts w:ascii="Arial" w:cs="Arial" w:eastAsia="Arial" w:hAnsi="Arial"/>
          <w:sz w:val="24"/>
          <w:szCs w:val="24"/>
        </w:rPr>
        <w:t xml:space="preserve">Läraren faciliterar vid behov för att säkerställa att alla hörs. “Nu vill jag höra från [perspektiv]-experten” ger tysta elever en naturlig ingång utan att det upplevs som utpekande.</w:t>
      </w:r>
    </w:p>
    <w:p>
      <w:pPr>
        <w:pStyle w:val="Heading2"/>
        <w:spacing w:after="120" w:before="240"/>
      </w:pPr>
      <w:r>
        <w:rPr>
          <w:rFonts w:ascii="Arial" w:cs="Arial" w:eastAsia="Arial" w:hAnsi="Arial"/>
          <w:b/>
          <w:bCs/>
          <w:sz w:val="28"/>
          <w:szCs w:val="28"/>
        </w:rPr>
        <w:t xml:space="preserve">Material</w:t>
      </w:r>
    </w:p>
    <w:p>
      <w:pPr>
        <w:pStyle w:val="ListParagraph"/>
        <w:numPr>
          <w:ilvl w:val="0"/>
          <w:numId w:val="2"/>
        </w:numPr>
        <w:spacing w:after="60"/>
      </w:pPr>
      <w:r>
        <w:rPr>
          <w:rFonts w:ascii="Arial" w:cs="Arial" w:eastAsia="Arial" w:hAnsi="Arial"/>
          <w:sz w:val="24"/>
          <w:szCs w:val="24"/>
        </w:rPr>
        <w:t xml:space="preserve">Seminariefrågeställning (se bilaga 1)</w:t>
      </w:r>
    </w:p>
    <w:p>
      <w:pPr>
        <w:pStyle w:val="ListParagraph"/>
        <w:numPr>
          <w:ilvl w:val="0"/>
          <w:numId w:val="2"/>
        </w:numPr>
        <w:spacing w:after="60"/>
      </w:pPr>
      <w:r>
        <w:rPr>
          <w:rFonts w:ascii="Arial" w:cs="Arial" w:eastAsia="Arial" w:hAnsi="Arial"/>
          <w:sz w:val="24"/>
          <w:szCs w:val="24"/>
        </w:rPr>
        <w:t xml:space="preserve">Rollkort — 5 perspektiv (se bilaga 2)</w:t>
      </w:r>
    </w:p>
    <w:p>
      <w:pPr>
        <w:pStyle w:val="ListParagraph"/>
        <w:numPr>
          <w:ilvl w:val="0"/>
          <w:numId w:val="2"/>
        </w:numPr>
        <w:spacing w:after="60"/>
      </w:pPr>
      <w:r>
        <w:rPr>
          <w:rFonts w:ascii="Arial" w:cs="Arial" w:eastAsia="Arial" w:hAnsi="Arial"/>
          <w:sz w:val="24"/>
          <w:szCs w:val="24"/>
        </w:rPr>
        <w:t xml:space="preserve">Bedömningsmatris för seminarium (se bilaga 3)</w:t>
      </w:r>
    </w:p>
    <w:p>
      <w:pPr>
        <w:pStyle w:val="ListParagraph"/>
        <w:numPr>
          <w:ilvl w:val="0"/>
          <w:numId w:val="2"/>
        </w:numPr>
        <w:spacing w:after="60"/>
      </w:pPr>
      <w:r>
        <w:rPr>
          <w:rFonts w:ascii="Arial" w:cs="Arial" w:eastAsia="Arial" w:hAnsi="Arial"/>
          <w:sz w:val="24"/>
          <w:szCs w:val="24"/>
        </w:rPr>
        <w:t xml:space="preserve">Lärarens observationsprotokoll (se bilaga 4)</w:t>
      </w:r>
    </w:p>
    <w:p>
      <w:pPr>
        <w:pStyle w:val="ListParagraph"/>
        <w:numPr>
          <w:ilvl w:val="0"/>
          <w:numId w:val="2"/>
        </w:numPr>
        <w:spacing w:after="60"/>
      </w:pPr>
      <w:r>
        <w:rPr>
          <w:rFonts w:ascii="Arial" w:cs="Arial" w:eastAsia="Arial" w:hAnsi="Arial"/>
          <w:sz w:val="24"/>
          <w:szCs w:val="24"/>
        </w:rPr>
        <w:t xml:space="preserve">Inspelningsutrustning (ljud) — en enhet per grupp</w:t>
      </w:r>
    </w:p>
    <w:p>
      <w:pPr>
        <w:pStyle w:val="ListParagraph"/>
        <w:numPr>
          <w:ilvl w:val="0"/>
          <w:numId w:val="2"/>
        </w:numPr>
        <w:spacing w:after="60"/>
      </w:pPr>
      <w:r>
        <w:rPr>
          <w:rFonts w:ascii="Arial" w:cs="Arial" w:eastAsia="Arial" w:hAnsi="Arial"/>
          <w:sz w:val="24"/>
          <w:szCs w:val="24"/>
        </w:rPr>
        <w:t xml:space="preserve">Lärandemålet utskrivet/projicerat</w:t>
      </w:r>
    </w:p>
    <w:p>
      <w:pPr>
        <w:pStyle w:val="Heading2"/>
        <w:spacing w:after="120" w:before="240"/>
      </w:pPr>
      <w:r>
        <w:rPr>
          <w:rFonts w:ascii="Arial" w:cs="Arial" w:eastAsia="Arial" w:hAnsi="Arial"/>
          <w:b/>
          <w:bCs/>
          <w:sz w:val="28"/>
          <w:szCs w:val="28"/>
        </w:rPr>
        <w:t xml:space="preserve">Koppling till kunskapskrav</w:t>
      </w:r>
    </w:p>
    <w:p>
      <w:pPr>
        <w:pStyle w:val="ListParagraph"/>
        <w:numPr>
          <w:ilvl w:val="0"/>
          <w:numId w:val="2"/>
        </w:numPr>
        <w:spacing w:after="60"/>
      </w:pPr>
      <w:r>
        <w:rPr>
          <w:rFonts w:ascii="Arial" w:cs="Arial" w:eastAsia="Arial" w:hAnsi="Arial"/>
          <w:sz w:val="24"/>
          <w:szCs w:val="24"/>
        </w:rPr>
        <w:t xml:space="preserve">Seminariet prövar förmågan att resonera om varför konspirationsteorier och AI-genererat innehåll upplevs som övertygande (mål 2)</w:t>
      </w:r>
    </w:p>
    <w:p>
      <w:pPr>
        <w:pStyle w:val="ListParagraph"/>
        <w:numPr>
          <w:ilvl w:val="0"/>
          <w:numId w:val="2"/>
        </w:numPr>
        <w:spacing w:after="60"/>
      </w:pPr>
      <w:r>
        <w:rPr>
          <w:rFonts w:ascii="Arial" w:cs="Arial" w:eastAsia="Arial" w:hAnsi="Arial"/>
          <w:sz w:val="24"/>
          <w:szCs w:val="24"/>
        </w:rPr>
        <w:t xml:space="preserve">Seminariet prövar förmågan att diskutera källkritiska frågor med analytisk distans och bygga vidare på andras resonemang (mål 3)</w:t>
      </w:r>
    </w:p>
    <w:p>
      <w:pPr>
        <w:pStyle w:val="ListParagraph"/>
        <w:numPr>
          <w:ilvl w:val="0"/>
          <w:numId w:val="2"/>
        </w:numPr>
        <w:spacing w:after="60"/>
      </w:pPr>
      <w:r>
        <w:rPr>
          <w:rFonts w:ascii="Arial" w:cs="Arial" w:eastAsia="Arial" w:hAnsi="Arial"/>
          <w:sz w:val="24"/>
          <w:szCs w:val="24"/>
        </w:rPr>
        <w:t xml:space="preserve">Tredjepersons-framing är ett explicit bedömningskriterium (E: i någon mån, C: konsekvent, A: genomgående med reflektion)</w:t>
      </w:r>
    </w:p>
    <w:p>
      <w:pPr>
        <w:spacing w:after="60"/>
      </w:pPr>
    </w:p>
    <w:p>
      <w:pPr>
        <w:spacing w:after="120"/>
      </w:pPr>
      <w:r>
        <w:rPr>
          <w:rFonts w:ascii="Arial" w:cs="Arial" w:eastAsia="Arial" w:hAnsi="Arial"/>
          <w:sz w:val="24"/>
          <w:szCs w:val="24"/>
        </w:rPr>
        <w:t xml:space="preserve">Seminariets design (tilldelade perspektiv, facilitering) säkerställer att alla elever har en utgångspunkt för sina resonemang. E/C/A-differentiering sker genom analysdjup, förmåga att bygga vidare på andras argument och användning av tredjepersons-framing.</w:t>
      </w:r>
    </w:p>
    <w:p>
      <w:pPr>
        <w:pStyle w:val="Heading2"/>
        <w:spacing w:after="120" w:before="240"/>
      </w:pPr>
      <w:r>
        <w:rPr>
          <w:rFonts w:ascii="Arial" w:cs="Arial" w:eastAsia="Arial" w:hAnsi="Arial"/>
          <w:b/>
          <w:bCs/>
          <w:sz w:val="28"/>
          <w:szCs w:val="28"/>
        </w:rPr>
        <w:t xml:space="preserve">Kopplingar</w:t>
      </w:r>
    </w:p>
    <w:p>
      <w:pPr>
        <w:pStyle w:val="ListParagraph"/>
        <w:numPr>
          <w:ilvl w:val="0"/>
          <w:numId w:val="2"/>
        </w:numPr>
        <w:spacing w:after="60"/>
      </w:pPr>
      <w:r>
        <w:rPr>
          <w:rFonts w:ascii="Arial" w:cs="Arial" w:eastAsia="Arial" w:hAnsi="Arial"/>
          <w:sz w:val="24"/>
          <w:szCs w:val="24"/>
        </w:rPr>
        <w:t xml:space="preserve">Bygger på: HELA momentet (L1–L7)</w:t>
      </w:r>
    </w:p>
    <w:p>
      <w:pPr>
        <w:pStyle w:val="ListParagraph"/>
        <w:numPr>
          <w:ilvl w:val="0"/>
          <w:numId w:val="2"/>
        </w:numPr>
        <w:spacing w:after="60"/>
      </w:pPr>
      <w:r>
        <w:rPr>
          <w:rFonts w:ascii="Arial" w:cs="Arial" w:eastAsia="Arial" w:hAnsi="Arial"/>
          <w:sz w:val="24"/>
          <w:szCs w:val="24"/>
        </w:rPr>
        <w:t xml:space="preserve">Återkommande case från L1 används som seminariets utgångspunkt</w:t>
      </w:r>
    </w:p>
    <w:p>
      <w:pPr>
        <w:pStyle w:val="ListParagraph"/>
        <w:numPr>
          <w:ilvl w:val="0"/>
          <w:numId w:val="2"/>
        </w:numPr>
        <w:spacing w:after="60"/>
      </w:pPr>
      <w:r>
        <w:rPr>
          <w:rFonts w:ascii="Arial" w:cs="Arial" w:eastAsia="Arial" w:hAnsi="Arial"/>
          <w:sz w:val="24"/>
          <w:szCs w:val="24"/>
        </w:rPr>
        <w:t xml:space="preserve">Bedöms mot E/C/A-kriterier från bedömningskriterier.md (muntlig examination)</w:t>
      </w:r>
    </w:p>
    <w:p>
      <w:pPr>
        <w:pStyle w:val="ListParagraph"/>
        <w:numPr>
          <w:ilvl w:val="0"/>
          <w:numId w:val="2"/>
        </w:numPr>
        <w:spacing w:after="60"/>
      </w:pPr>
      <w:r>
        <w:rPr>
          <w:rFonts w:ascii="Arial" w:cs="Arial" w:eastAsia="Arial" w:hAnsi="Arial"/>
          <w:sz w:val="24"/>
          <w:szCs w:val="24"/>
        </w:rPr>
        <w:t xml:space="preserve">Equity-safeguards från bedömningskriterier.md tillämpas fullt ut</w:t>
      </w:r>
    </w:p>
    <w:p>
      <w:pPr>
        <w:pStyle w:val="ListParagraph"/>
        <w:numPr>
          <w:ilvl w:val="0"/>
          <w:numId w:val="2"/>
        </w:numPr>
        <w:spacing w:after="60"/>
      </w:pPr>
      <w:r>
        <w:rPr>
          <w:rFonts w:ascii="Arial" w:cs="Arial" w:eastAsia="Arial" w:hAnsi="Arial"/>
          <w:sz w:val="24"/>
          <w:szCs w:val="24"/>
        </w:rPr>
        <w:t xml:space="preserve">L4 (formativt seminarium) förberedde eleverna för denna examination</w:t>
      </w:r>
    </w:p>
    <w:p>
      <w:pPr>
        <w:pStyle w:val="ListParagraph"/>
        <w:numPr>
          <w:ilvl w:val="0"/>
          <w:numId w:val="2"/>
        </w:numPr>
        <w:spacing w:after="60"/>
      </w:pPr>
      <w:r>
        <w:rPr>
          <w:rFonts w:ascii="Arial" w:cs="Arial" w:eastAsia="Arial" w:hAnsi="Arial"/>
          <w:sz w:val="24"/>
          <w:szCs w:val="24"/>
        </w:rPr>
        <w:t xml:space="preserve">Sista lektionen i momentet — avslutar med reflektion</w:t>
      </w:r>
    </w:p>
    <w:p>
      <w:pPr>
        <w:pStyle w:val="Heading2"/>
        <w:spacing w:after="120" w:before="240"/>
      </w:pPr>
      <w:r>
        <w:rPr>
          <w:rFonts w:ascii="Arial" w:cs="Arial" w:eastAsia="Arial" w:hAnsi="Arial"/>
          <w:b/>
          <w:bCs/>
          <w:sz w:val="28"/>
          <w:szCs w:val="28"/>
        </w:rPr>
        <w:t xml:space="preserve">Bedömning</w:t>
      </w:r>
    </w:p>
    <w:p>
      <w:pPr>
        <w:spacing w:after="120"/>
      </w:pPr>
      <w:r>
        <w:rPr>
          <w:rFonts w:ascii="Arial" w:cs="Arial" w:eastAsia="Arial" w:hAnsi="Arial"/>
          <w:sz w:val="24"/>
          <w:szCs w:val="24"/>
        </w:rPr>
        <w:t xml:space="preserve">Seminariet bedöms via inspelning + efterbedömning. Läraren lyssnar igenom inspelningarna och bedömer varje elev mot E/C/A-kriterierna i bilaga 3.</w:t>
      </w:r>
    </w:p>
    <w:p>
      <w:pPr>
        <w:spacing w:after="60"/>
      </w:pPr>
    </w:p>
    <w:p>
      <w:pPr>
        <w:spacing w:after="120"/>
      </w:pPr>
      <w:r>
        <w:rPr>
          <w:rFonts w:ascii="Arial" w:cs="Arial" w:eastAsia="Arial" w:hAnsi="Arial"/>
          <w:sz w:val="24"/>
          <w:szCs w:val="24"/>
        </w:rPr>
        <w:t xml:space="preserve">Observationsprotokollet (bilaga 4) används som stöd under seminariet för att notera:</w:t>
      </w:r>
    </w:p>
    <w:p>
      <w:pPr>
        <w:pStyle w:val="ListParagraph"/>
        <w:numPr>
          <w:ilvl w:val="0"/>
          <w:numId w:val="2"/>
        </w:numPr>
        <w:spacing w:after="60"/>
      </w:pPr>
      <w:r>
        <w:rPr>
          <w:rFonts w:ascii="Arial" w:cs="Arial" w:eastAsia="Arial" w:hAnsi="Arial"/>
          <w:sz w:val="24"/>
          <w:szCs w:val="24"/>
        </w:rPr>
        <w:t xml:space="preserve">Vilka elever som bidrar och i vilken omfattning</w:t>
      </w:r>
    </w:p>
    <w:p>
      <w:pPr>
        <w:pStyle w:val="ListParagraph"/>
        <w:numPr>
          <w:ilvl w:val="0"/>
          <w:numId w:val="2"/>
        </w:numPr>
        <w:spacing w:after="60"/>
      </w:pPr>
      <w:r>
        <w:rPr>
          <w:rFonts w:ascii="Arial" w:cs="Arial" w:eastAsia="Arial" w:hAnsi="Arial"/>
          <w:sz w:val="24"/>
          <w:szCs w:val="24"/>
        </w:rPr>
        <w:t xml:space="preserve">Kvaliteten på resonemang (ytligt vs djupt)</w:t>
      </w:r>
    </w:p>
    <w:p>
      <w:pPr>
        <w:pStyle w:val="ListParagraph"/>
        <w:numPr>
          <w:ilvl w:val="0"/>
          <w:numId w:val="2"/>
        </w:numPr>
        <w:spacing w:after="60"/>
      </w:pPr>
      <w:r>
        <w:rPr>
          <w:rFonts w:ascii="Arial" w:cs="Arial" w:eastAsia="Arial" w:hAnsi="Arial"/>
          <w:sz w:val="24"/>
          <w:szCs w:val="24"/>
        </w:rPr>
        <w:t xml:space="preserve">Användning av tredjepersons-framing</w:t>
      </w:r>
    </w:p>
    <w:p>
      <w:pPr>
        <w:pStyle w:val="ListParagraph"/>
        <w:numPr>
          <w:ilvl w:val="0"/>
          <w:numId w:val="2"/>
        </w:numPr>
        <w:spacing w:after="60"/>
      </w:pPr>
      <w:r>
        <w:rPr>
          <w:rFonts w:ascii="Arial" w:cs="Arial" w:eastAsia="Arial" w:hAnsi="Arial"/>
          <w:sz w:val="24"/>
          <w:szCs w:val="24"/>
        </w:rPr>
        <w:t xml:space="preserve">Förmåga att bygga vidare på andras argument</w:t>
      </w:r>
    </w:p>
    <w:p>
      <w:pPr>
        <w:pStyle w:val="ListParagraph"/>
        <w:numPr>
          <w:ilvl w:val="0"/>
          <w:numId w:val="2"/>
        </w:numPr>
        <w:spacing w:after="60"/>
      </w:pPr>
      <w:r>
        <w:rPr>
          <w:rFonts w:ascii="Arial" w:cs="Arial" w:eastAsia="Arial" w:hAnsi="Arial"/>
          <w:sz w:val="24"/>
          <w:szCs w:val="24"/>
        </w:rPr>
        <w:t xml:space="preserve">Elever som kan behöva privat uppföljning</w:t>
      </w:r>
    </w:p>
    <w:p>
      <w:r>
        <w:br w:type="page"/>
      </w:r>
    </w:p>
    <w:p>
      <w:pPr>
        <w:pStyle w:val="Heading2"/>
        <w:spacing w:after="120" w:before="240"/>
      </w:pPr>
      <w:r>
        <w:rPr>
          <w:rFonts w:ascii="Arial" w:cs="Arial" w:eastAsia="Arial" w:hAnsi="Arial"/>
          <w:b/>
          <w:bCs/>
          <w:sz w:val="28"/>
          <w:szCs w:val="28"/>
        </w:rPr>
        <w:t xml:space="preserve">Bilaga 1: Seminariefrågeställning</w:t>
      </w:r>
    </w:p>
    <w:p>
      <w:pPr>
        <w:spacing w:after="120"/>
      </w:pPr>
      <w:r>
        <w:rPr>
          <w:rFonts w:ascii="Arial" w:cs="Arial" w:eastAsia="Arial" w:hAnsi="Arial"/>
          <w:sz w:val="24"/>
          <w:szCs w:val="24"/>
        </w:rPr>
        <w:t xml:space="preserve">Välj EN av följande tre alternativ. Alla baseras på de återkommande casen från momentet.</w:t>
      </w:r>
    </w:p>
    <w:p>
      <w:pPr>
        <w:spacing w:after="60"/>
      </w:pPr>
    </w:p>
    <w:p>
      <w:pPr>
        <w:spacing w:after="120"/>
      </w:pPr>
      <w:r>
        <w:rPr>
          <w:rFonts w:ascii="Arial" w:cs="Arial" w:eastAsia="Arial" w:hAnsi="Arial"/>
          <w:b/>
          <w:bCs/>
          <w:sz w:val="24"/>
          <w:szCs w:val="24"/>
        </w:rPr>
        <w:t xml:space="preserve">Alternativ 1:</w:t>
      </w:r>
      <w:r>
        <w:rPr>
          <w:rFonts w:ascii="Arial" w:cs="Arial" w:eastAsia="Arial" w:hAnsi="Arial"/>
          <w:sz w:val="24"/>
          <w:szCs w:val="24"/>
        </w:rPr>
        <w:t xml:space="preserve"/>
      </w:r>
    </w:p>
    <w:p>
      <w:pPr>
        <w:spacing w:after="120"/>
      </w:pPr>
      <w:r>
        <w:rPr>
          <w:rFonts w:ascii="Arial" w:cs="Arial" w:eastAsia="Arial" w:hAnsi="Arial"/>
          <w:i/>
          <w:iCs/>
          <w:sz w:val="24"/>
          <w:szCs w:val="24"/>
        </w:rPr>
        <w:t xml:space="preserve">“Med utgångspunkt i AI-genererade TikTok-konton i Sverige (2025): Analysera från ert tilldelade perspektiv varför denna typ av innehåll kan upplevas som trovärdigt och vilka konsekvenser det kan få för samhället.”</w:t>
      </w:r>
    </w:p>
    <w:p>
      <w:pPr>
        <w:spacing w:after="60"/>
      </w:pPr>
    </w:p>
    <w:p>
      <w:pPr>
        <w:spacing w:after="120"/>
      </w:pPr>
      <w:r>
        <w:rPr>
          <w:rFonts w:ascii="Arial" w:cs="Arial" w:eastAsia="Arial" w:hAnsi="Arial"/>
          <w:b/>
          <w:bCs/>
          <w:sz w:val="24"/>
          <w:szCs w:val="24"/>
        </w:rPr>
        <w:t xml:space="preserve">Alternativ 2:</w:t>
      </w:r>
      <w:r>
        <w:rPr>
          <w:rFonts w:ascii="Arial" w:cs="Arial" w:eastAsia="Arial" w:hAnsi="Arial"/>
          <w:sz w:val="24"/>
          <w:szCs w:val="24"/>
        </w:rPr>
        <w:t xml:space="preserve"/>
      </w:r>
    </w:p>
    <w:p>
      <w:pPr>
        <w:spacing w:after="120"/>
      </w:pPr>
      <w:r>
        <w:rPr>
          <w:rFonts w:ascii="Arial" w:cs="Arial" w:eastAsia="Arial" w:hAnsi="Arial"/>
          <w:i/>
          <w:iCs/>
          <w:sz w:val="24"/>
          <w:szCs w:val="24"/>
        </w:rPr>
        <w:t xml:space="preserve">“Med utgångspunkt i deepfakes inför det svenska valet 2026: Analysera från ert tilldelade perspektiv hur manipulerat innehåll påverkar väljares förmåga att göra informerade val och vilka motmedel som finns.”</w:t>
      </w:r>
    </w:p>
    <w:p>
      <w:pPr>
        <w:spacing w:after="60"/>
      </w:pPr>
    </w:p>
    <w:p>
      <w:pPr>
        <w:spacing w:after="120"/>
      </w:pPr>
      <w:r>
        <w:rPr>
          <w:rFonts w:ascii="Arial" w:cs="Arial" w:eastAsia="Arial" w:hAnsi="Arial"/>
          <w:b/>
          <w:bCs/>
          <w:sz w:val="24"/>
          <w:szCs w:val="24"/>
        </w:rPr>
        <w:t xml:space="preserve">Alternativ 3:</w:t>
      </w:r>
      <w:r>
        <w:rPr>
          <w:rFonts w:ascii="Arial" w:cs="Arial" w:eastAsia="Arial" w:hAnsi="Arial"/>
          <w:sz w:val="24"/>
          <w:szCs w:val="24"/>
        </w:rPr>
        <w:t xml:space="preserve"/>
      </w:r>
    </w:p>
    <w:p>
      <w:pPr>
        <w:spacing w:after="120"/>
      </w:pPr>
      <w:r>
        <w:rPr>
          <w:rFonts w:ascii="Arial" w:cs="Arial" w:eastAsia="Arial" w:hAnsi="Arial"/>
          <w:i/>
          <w:iCs/>
          <w:sz w:val="24"/>
          <w:szCs w:val="24"/>
        </w:rPr>
        <w:t xml:space="preserve">“Med utgångspunkt i hur AI-modeller (som DeepSeek) kan generera övertygande konspirationsteorier: Analysera från ert tilldelade perspektiv vad detta innebär för det källkritiska landskapet och vilka utmaningar samhället står inför.”</w:t>
      </w:r>
    </w:p>
    <w:p>
      <w:pPr>
        <w:spacing w:after="60"/>
      </w:pPr>
    </w:p>
    <w:p>
      <w:pPr>
        <w:spacing w:after="120"/>
      </w:pPr>
      <w:r>
        <w:rPr>
          <w:rFonts w:ascii="Arial" w:cs="Arial" w:eastAsia="Arial" w:hAnsi="Arial"/>
          <w:sz w:val="24"/>
          <w:szCs w:val="24"/>
        </w:rPr>
        <w:t xml:space="preserve">Alla tre alternativ använder tredjepersons-framing och återkommande case. Välj det alternativ som bäst matchar vad klassen arbetat mest med under momentet.</w:t>
      </w:r>
    </w:p>
    <w:p>
      <w:r>
        <w:br w:type="page"/>
      </w:r>
    </w:p>
    <w:p>
      <w:pPr>
        <w:pStyle w:val="Heading2"/>
        <w:spacing w:after="120" w:before="240"/>
      </w:pPr>
      <w:r>
        <w:rPr>
          <w:rFonts w:ascii="Arial" w:cs="Arial" w:eastAsia="Arial" w:hAnsi="Arial"/>
          <w:b/>
          <w:bCs/>
          <w:sz w:val="28"/>
          <w:szCs w:val="28"/>
        </w:rPr>
        <w:t xml:space="preserve">Bilaga 2: Rollkort — Tilldelade perspektiv</w:t>
      </w:r>
    </w:p>
    <w:p>
      <w:pPr>
        <w:spacing w:after="120"/>
      </w:pPr>
      <w:r>
        <w:rPr>
          <w:rFonts w:ascii="Arial" w:cs="Arial" w:eastAsia="Arial" w:hAnsi="Arial"/>
          <w:sz w:val="24"/>
          <w:szCs w:val="24"/>
        </w:rPr>
        <w:t xml:space="preserve">Varje elev får ETT rollkort. Läraren fördelar perspektiven — ingen elev väljer själv.</w:t>
      </w:r>
    </w:p>
    <w:p>
      <w:pPr>
        <w:spacing w:after="60"/>
      </w:pPr>
    </w:p>
    <w:p>
      <w:pPr>
        <w:pStyle w:val="Heading3"/>
        <w:spacing w:after="80" w:before="180"/>
      </w:pPr>
      <w:r>
        <w:rPr>
          <w:rFonts w:ascii="Arial" w:cs="Arial" w:eastAsia="Arial" w:hAnsi="Arial"/>
          <w:b/>
          <w:bCs/>
          <w:sz w:val="26"/>
          <w:szCs w:val="26"/>
        </w:rPr>
        <w:t xml:space="preserve">Perspektiv 1: Medieforskaren</w:t>
      </w:r>
    </w:p>
    <w:p>
      <w:pPr>
        <w:spacing w:after="120"/>
      </w:pPr>
      <w:r>
        <w:rPr>
          <w:rFonts w:ascii="Arial" w:cs="Arial" w:eastAsia="Arial" w:hAnsi="Arial"/>
          <w:sz w:val="24"/>
          <w:szCs w:val="24"/>
        </w:rPr>
        <w:t xml:space="preserve">Du analyserar frågeställningen utifrån medielandskapet och algoritmernas roll.</w:t>
      </w:r>
    </w:p>
    <w:p>
      <w:pPr>
        <w:spacing w:after="60"/>
      </w:pPr>
    </w:p>
    <w:p>
      <w:pPr>
        <w:spacing w:after="120"/>
      </w:pPr>
      <w:r>
        <w:rPr>
          <w:rFonts w:ascii="Arial" w:cs="Arial" w:eastAsia="Arial" w:hAnsi="Arial"/>
          <w:sz w:val="24"/>
          <w:szCs w:val="24"/>
        </w:rPr>
        <w:t xml:space="preserve">Tänk på:</w:t>
      </w:r>
    </w:p>
    <w:p>
      <w:pPr>
        <w:pStyle w:val="ListParagraph"/>
        <w:numPr>
          <w:ilvl w:val="0"/>
          <w:numId w:val="2"/>
        </w:numPr>
        <w:spacing w:after="60"/>
      </w:pPr>
      <w:r>
        <w:rPr>
          <w:rFonts w:ascii="Arial" w:cs="Arial" w:eastAsia="Arial" w:hAnsi="Arial"/>
          <w:sz w:val="24"/>
          <w:szCs w:val="24"/>
        </w:rPr>
        <w:t xml:space="preserve">Hur påverkar algoritmerna vad människor ser och tror på?</w:t>
      </w:r>
    </w:p>
    <w:p>
      <w:pPr>
        <w:pStyle w:val="ListParagraph"/>
        <w:numPr>
          <w:ilvl w:val="0"/>
          <w:numId w:val="2"/>
        </w:numPr>
        <w:spacing w:after="60"/>
      </w:pPr>
      <w:r>
        <w:rPr>
          <w:rFonts w:ascii="Arial" w:cs="Arial" w:eastAsia="Arial" w:hAnsi="Arial"/>
          <w:sz w:val="24"/>
          <w:szCs w:val="24"/>
        </w:rPr>
        <w:t xml:space="preserve">Vilken roll spelar ekkammare och filterbubblor?</w:t>
      </w:r>
    </w:p>
    <w:p>
      <w:pPr>
        <w:pStyle w:val="ListParagraph"/>
        <w:numPr>
          <w:ilvl w:val="0"/>
          <w:numId w:val="2"/>
        </w:numPr>
        <w:spacing w:after="60"/>
      </w:pPr>
      <w:r>
        <w:rPr>
          <w:rFonts w:ascii="Arial" w:cs="Arial" w:eastAsia="Arial" w:hAnsi="Arial"/>
          <w:sz w:val="24"/>
          <w:szCs w:val="24"/>
        </w:rPr>
        <w:t xml:space="preserve">Hur har sociala medier förändrat informationsspridningen?</w:t>
      </w:r>
    </w:p>
    <w:p>
      <w:pPr>
        <w:pStyle w:val="ListParagraph"/>
        <w:numPr>
          <w:ilvl w:val="0"/>
          <w:numId w:val="2"/>
        </w:numPr>
        <w:spacing w:after="60"/>
      </w:pPr>
      <w:r>
        <w:rPr>
          <w:rFonts w:ascii="Arial" w:cs="Arial" w:eastAsia="Arial" w:hAnsi="Arial"/>
          <w:sz w:val="24"/>
          <w:szCs w:val="24"/>
        </w:rPr>
        <w:t xml:space="preserve">Vad kan plattformarna göra — och varför gör de det inte?</w:t>
      </w:r>
    </w:p>
    <w:p>
      <w:pPr>
        <w:spacing w:after="60"/>
      </w:pPr>
    </w:p>
    <w:p>
      <w:pPr>
        <w:pStyle w:val="Heading3"/>
        <w:spacing w:after="80" w:before="180"/>
      </w:pPr>
      <w:r>
        <w:rPr>
          <w:rFonts w:ascii="Arial" w:cs="Arial" w:eastAsia="Arial" w:hAnsi="Arial"/>
          <w:b/>
          <w:bCs/>
          <w:sz w:val="26"/>
          <w:szCs w:val="26"/>
        </w:rPr>
        <w:t xml:space="preserve">Perspektiv 2: AI-utvecklaren</w:t>
      </w:r>
    </w:p>
    <w:p>
      <w:pPr>
        <w:spacing w:after="120"/>
      </w:pPr>
      <w:r>
        <w:rPr>
          <w:rFonts w:ascii="Arial" w:cs="Arial" w:eastAsia="Arial" w:hAnsi="Arial"/>
          <w:sz w:val="24"/>
          <w:szCs w:val="24"/>
        </w:rPr>
        <w:t xml:space="preserve">Du analyserar frågeställningen utifrån teknologins möjligheter och begränsningar.</w:t>
      </w:r>
    </w:p>
    <w:p>
      <w:pPr>
        <w:spacing w:after="60"/>
      </w:pPr>
    </w:p>
    <w:p>
      <w:pPr>
        <w:spacing w:after="120"/>
      </w:pPr>
      <w:r>
        <w:rPr>
          <w:rFonts w:ascii="Arial" w:cs="Arial" w:eastAsia="Arial" w:hAnsi="Arial"/>
          <w:sz w:val="24"/>
          <w:szCs w:val="24"/>
        </w:rPr>
        <w:t xml:space="preserve">Tänk på:</w:t>
      </w:r>
    </w:p>
    <w:p>
      <w:pPr>
        <w:pStyle w:val="ListParagraph"/>
        <w:numPr>
          <w:ilvl w:val="0"/>
          <w:numId w:val="2"/>
        </w:numPr>
        <w:spacing w:after="60"/>
      </w:pPr>
      <w:r>
        <w:rPr>
          <w:rFonts w:ascii="Arial" w:cs="Arial" w:eastAsia="Arial" w:hAnsi="Arial"/>
          <w:sz w:val="24"/>
          <w:szCs w:val="24"/>
        </w:rPr>
        <w:t xml:space="preserve">Hur fungerar AI-generering av text, bild och video?</w:t>
      </w:r>
    </w:p>
    <w:p>
      <w:pPr>
        <w:pStyle w:val="ListParagraph"/>
        <w:numPr>
          <w:ilvl w:val="0"/>
          <w:numId w:val="2"/>
        </w:numPr>
        <w:spacing w:after="60"/>
      </w:pPr>
      <w:r>
        <w:rPr>
          <w:rFonts w:ascii="Arial" w:cs="Arial" w:eastAsia="Arial" w:hAnsi="Arial"/>
          <w:sz w:val="24"/>
          <w:szCs w:val="24"/>
        </w:rPr>
        <w:t xml:space="preserve">Vad gör AI-genererat innehåll svårt att skilja från äkta?</w:t>
      </w:r>
    </w:p>
    <w:p>
      <w:pPr>
        <w:pStyle w:val="ListParagraph"/>
        <w:numPr>
          <w:ilvl w:val="0"/>
          <w:numId w:val="2"/>
        </w:numPr>
        <w:spacing w:after="60"/>
      </w:pPr>
      <w:r>
        <w:rPr>
          <w:rFonts w:ascii="Arial" w:cs="Arial" w:eastAsia="Arial" w:hAnsi="Arial"/>
          <w:sz w:val="24"/>
          <w:szCs w:val="24"/>
        </w:rPr>
        <w:t xml:space="preserve">Vilka tekniska motmedel finns (t.ex. AI-detektion, vattenmärkning)?</w:t>
      </w:r>
    </w:p>
    <w:p>
      <w:pPr>
        <w:pStyle w:val="ListParagraph"/>
        <w:numPr>
          <w:ilvl w:val="0"/>
          <w:numId w:val="2"/>
        </w:numPr>
        <w:spacing w:after="60"/>
      </w:pPr>
      <w:r>
        <w:rPr>
          <w:rFonts w:ascii="Arial" w:cs="Arial" w:eastAsia="Arial" w:hAnsi="Arial"/>
          <w:sz w:val="24"/>
          <w:szCs w:val="24"/>
        </w:rPr>
        <w:t xml:space="preserve">Var går gränsen för vad teknologin kan och bör användas till?</w:t>
      </w:r>
    </w:p>
    <w:p>
      <w:pPr>
        <w:spacing w:after="60"/>
      </w:pPr>
    </w:p>
    <w:p>
      <w:pPr>
        <w:pStyle w:val="Heading3"/>
        <w:spacing w:after="80" w:before="180"/>
      </w:pPr>
      <w:r>
        <w:rPr>
          <w:rFonts w:ascii="Arial" w:cs="Arial" w:eastAsia="Arial" w:hAnsi="Arial"/>
          <w:b/>
          <w:bCs/>
          <w:sz w:val="26"/>
          <w:szCs w:val="26"/>
        </w:rPr>
        <w:t xml:space="preserve">Perspektiv 3: Psykologen</w:t>
      </w:r>
    </w:p>
    <w:p>
      <w:pPr>
        <w:spacing w:after="120"/>
      </w:pPr>
      <w:r>
        <w:rPr>
          <w:rFonts w:ascii="Arial" w:cs="Arial" w:eastAsia="Arial" w:hAnsi="Arial"/>
          <w:sz w:val="24"/>
          <w:szCs w:val="24"/>
        </w:rPr>
        <w:t xml:space="preserve">Du analyserar frågeställningen utifrån kognitiva biases och grupppsykologi.</w:t>
      </w:r>
    </w:p>
    <w:p>
      <w:pPr>
        <w:spacing w:after="60"/>
      </w:pPr>
    </w:p>
    <w:p>
      <w:pPr>
        <w:spacing w:after="120"/>
      </w:pPr>
      <w:r>
        <w:rPr>
          <w:rFonts w:ascii="Arial" w:cs="Arial" w:eastAsia="Arial" w:hAnsi="Arial"/>
          <w:sz w:val="24"/>
          <w:szCs w:val="24"/>
        </w:rPr>
        <w:t xml:space="preserve">Tänk på:</w:t>
      </w:r>
    </w:p>
    <w:p>
      <w:pPr>
        <w:pStyle w:val="ListParagraph"/>
        <w:numPr>
          <w:ilvl w:val="0"/>
          <w:numId w:val="2"/>
        </w:numPr>
        <w:spacing w:after="60"/>
      </w:pPr>
      <w:r>
        <w:rPr>
          <w:rFonts w:ascii="Arial" w:cs="Arial" w:eastAsia="Arial" w:hAnsi="Arial"/>
          <w:sz w:val="24"/>
          <w:szCs w:val="24"/>
        </w:rPr>
        <w:t xml:space="preserve">Vilka psykologiska mekanismer gör att människor tror på konspirationsteorier?</w:t>
      </w:r>
    </w:p>
    <w:p>
      <w:pPr>
        <w:pStyle w:val="ListParagraph"/>
        <w:numPr>
          <w:ilvl w:val="0"/>
          <w:numId w:val="2"/>
        </w:numPr>
        <w:spacing w:after="60"/>
      </w:pPr>
      <w:r>
        <w:rPr>
          <w:rFonts w:ascii="Arial" w:cs="Arial" w:eastAsia="Arial" w:hAnsi="Arial"/>
          <w:sz w:val="24"/>
          <w:szCs w:val="24"/>
        </w:rPr>
        <w:t xml:space="preserve">Hur påverkar confirmation bias, proportionality bias och grupptillhörighet?</w:t>
      </w:r>
    </w:p>
    <w:p>
      <w:pPr>
        <w:pStyle w:val="ListParagraph"/>
        <w:numPr>
          <w:ilvl w:val="0"/>
          <w:numId w:val="2"/>
        </w:numPr>
        <w:spacing w:after="60"/>
      </w:pPr>
      <w:r>
        <w:rPr>
          <w:rFonts w:ascii="Arial" w:cs="Arial" w:eastAsia="Arial" w:hAnsi="Arial"/>
          <w:sz w:val="24"/>
          <w:szCs w:val="24"/>
        </w:rPr>
        <w:t xml:space="preserve">Varför är det svårt att ändra uppfattning när man väl trott på något?</w:t>
      </w:r>
    </w:p>
    <w:p>
      <w:pPr>
        <w:pStyle w:val="ListParagraph"/>
        <w:numPr>
          <w:ilvl w:val="0"/>
          <w:numId w:val="2"/>
        </w:numPr>
        <w:spacing w:after="60"/>
      </w:pPr>
      <w:r>
        <w:rPr>
          <w:rFonts w:ascii="Arial" w:cs="Arial" w:eastAsia="Arial" w:hAnsi="Arial"/>
          <w:sz w:val="24"/>
          <w:szCs w:val="24"/>
        </w:rPr>
        <w:t xml:space="preserve">Hur kan förståelse för dessa mekanismer hjälpa oss att granska information?</w:t>
      </w:r>
    </w:p>
    <w:p>
      <w:pPr>
        <w:spacing w:after="60"/>
      </w:pPr>
    </w:p>
    <w:p>
      <w:pPr>
        <w:pStyle w:val="Heading3"/>
        <w:spacing w:after="80" w:before="180"/>
      </w:pPr>
      <w:r>
        <w:rPr>
          <w:rFonts w:ascii="Arial" w:cs="Arial" w:eastAsia="Arial" w:hAnsi="Arial"/>
          <w:b/>
          <w:bCs/>
          <w:sz w:val="26"/>
          <w:szCs w:val="26"/>
        </w:rPr>
        <w:t xml:space="preserve">Perspektiv 4: Samhällsdebattören</w:t>
      </w:r>
    </w:p>
    <w:p>
      <w:pPr>
        <w:spacing w:after="120"/>
      </w:pPr>
      <w:r>
        <w:rPr>
          <w:rFonts w:ascii="Arial" w:cs="Arial" w:eastAsia="Arial" w:hAnsi="Arial"/>
          <w:sz w:val="24"/>
          <w:szCs w:val="24"/>
        </w:rPr>
        <w:t xml:space="preserve">Du analyserar frågeställningen utifrån demokrati och yttrandefrihet.</w:t>
      </w:r>
    </w:p>
    <w:p>
      <w:pPr>
        <w:spacing w:after="60"/>
      </w:pPr>
    </w:p>
    <w:p>
      <w:pPr>
        <w:spacing w:after="120"/>
      </w:pPr>
      <w:r>
        <w:rPr>
          <w:rFonts w:ascii="Arial" w:cs="Arial" w:eastAsia="Arial" w:hAnsi="Arial"/>
          <w:sz w:val="24"/>
          <w:szCs w:val="24"/>
        </w:rPr>
        <w:t xml:space="preserve">Tänk på:</w:t>
      </w:r>
    </w:p>
    <w:p>
      <w:pPr>
        <w:pStyle w:val="ListParagraph"/>
        <w:numPr>
          <w:ilvl w:val="0"/>
          <w:numId w:val="2"/>
        </w:numPr>
        <w:spacing w:after="60"/>
      </w:pPr>
      <w:r>
        <w:rPr>
          <w:rFonts w:ascii="Arial" w:cs="Arial" w:eastAsia="Arial" w:hAnsi="Arial"/>
          <w:sz w:val="24"/>
          <w:szCs w:val="24"/>
        </w:rPr>
        <w:t xml:space="preserve">Hur påverkas demokratin när väljare inte kan lita på information?</w:t>
      </w:r>
    </w:p>
    <w:p>
      <w:pPr>
        <w:pStyle w:val="ListParagraph"/>
        <w:numPr>
          <w:ilvl w:val="0"/>
          <w:numId w:val="2"/>
        </w:numPr>
        <w:spacing w:after="60"/>
      </w:pPr>
      <w:r>
        <w:rPr>
          <w:rFonts w:ascii="Arial" w:cs="Arial" w:eastAsia="Arial" w:hAnsi="Arial"/>
          <w:sz w:val="24"/>
          <w:szCs w:val="24"/>
        </w:rPr>
        <w:t xml:space="preserve">Var går gränsen mellan yttrandefrihet och skydd mot desinformation?</w:t>
      </w:r>
    </w:p>
    <w:p>
      <w:pPr>
        <w:pStyle w:val="ListParagraph"/>
        <w:numPr>
          <w:ilvl w:val="0"/>
          <w:numId w:val="2"/>
        </w:numPr>
        <w:spacing w:after="60"/>
      </w:pPr>
      <w:r>
        <w:rPr>
          <w:rFonts w:ascii="Arial" w:cs="Arial" w:eastAsia="Arial" w:hAnsi="Arial"/>
          <w:sz w:val="24"/>
          <w:szCs w:val="24"/>
        </w:rPr>
        <w:t xml:space="preserve">Vem bär ansvaret — individen, plattformarna eller staten?</w:t>
      </w:r>
    </w:p>
    <w:p>
      <w:pPr>
        <w:pStyle w:val="ListParagraph"/>
        <w:numPr>
          <w:ilvl w:val="0"/>
          <w:numId w:val="2"/>
        </w:numPr>
        <w:spacing w:after="60"/>
      </w:pPr>
      <w:r>
        <w:rPr>
          <w:rFonts w:ascii="Arial" w:cs="Arial" w:eastAsia="Arial" w:hAnsi="Arial"/>
          <w:sz w:val="24"/>
          <w:szCs w:val="24"/>
        </w:rPr>
        <w:t xml:space="preserve">Vilka lagliga och samhälleliga åtgärder är rimliga?</w:t>
      </w:r>
    </w:p>
    <w:p>
      <w:pPr>
        <w:spacing w:after="60"/>
      </w:pPr>
    </w:p>
    <w:p>
      <w:pPr>
        <w:pStyle w:val="Heading3"/>
        <w:spacing w:after="80" w:before="180"/>
      </w:pPr>
      <w:r>
        <w:rPr>
          <w:rFonts w:ascii="Arial" w:cs="Arial" w:eastAsia="Arial" w:hAnsi="Arial"/>
          <w:b/>
          <w:bCs/>
          <w:sz w:val="26"/>
          <w:szCs w:val="26"/>
        </w:rPr>
        <w:t xml:space="preserve">Perspektiv 5: Ungdomsrepresentanten</w:t>
      </w:r>
    </w:p>
    <w:p>
      <w:pPr>
        <w:spacing w:after="120"/>
      </w:pPr>
      <w:r>
        <w:rPr>
          <w:rFonts w:ascii="Arial" w:cs="Arial" w:eastAsia="Arial" w:hAnsi="Arial"/>
          <w:sz w:val="24"/>
          <w:szCs w:val="24"/>
        </w:rPr>
        <w:t xml:space="preserve">Du analyserar frågeställningen utifrån ungdomars medievanor och sårbarhet.</w:t>
      </w:r>
    </w:p>
    <w:p>
      <w:pPr>
        <w:spacing w:after="60"/>
      </w:pPr>
    </w:p>
    <w:p>
      <w:pPr>
        <w:spacing w:after="120"/>
      </w:pPr>
      <w:r>
        <w:rPr>
          <w:rFonts w:ascii="Arial" w:cs="Arial" w:eastAsia="Arial" w:hAnsi="Arial"/>
          <w:sz w:val="24"/>
          <w:szCs w:val="24"/>
        </w:rPr>
        <w:t xml:space="preserve">Tänk på:</w:t>
      </w:r>
    </w:p>
    <w:p>
      <w:pPr>
        <w:pStyle w:val="ListParagraph"/>
        <w:numPr>
          <w:ilvl w:val="0"/>
          <w:numId w:val="2"/>
        </w:numPr>
        <w:spacing w:after="60"/>
      </w:pPr>
      <w:r>
        <w:rPr>
          <w:rFonts w:ascii="Arial" w:cs="Arial" w:eastAsia="Arial" w:hAnsi="Arial"/>
          <w:sz w:val="24"/>
          <w:szCs w:val="24"/>
        </w:rPr>
        <w:t xml:space="preserve">Hur konsumerar unga information jämfört med äldre generationer?</w:t>
      </w:r>
    </w:p>
    <w:p>
      <w:pPr>
        <w:pStyle w:val="ListParagraph"/>
        <w:numPr>
          <w:ilvl w:val="0"/>
          <w:numId w:val="2"/>
        </w:numPr>
        <w:spacing w:after="60"/>
      </w:pPr>
      <w:r>
        <w:rPr>
          <w:rFonts w:ascii="Arial" w:cs="Arial" w:eastAsia="Arial" w:hAnsi="Arial"/>
          <w:sz w:val="24"/>
          <w:szCs w:val="24"/>
        </w:rPr>
        <w:t xml:space="preserve">Varför kan unga vara särskilt sårbara för AI-genererad desinformation?</w:t>
      </w:r>
    </w:p>
    <w:p>
      <w:pPr>
        <w:pStyle w:val="ListParagraph"/>
        <w:numPr>
          <w:ilvl w:val="0"/>
          <w:numId w:val="2"/>
        </w:numPr>
        <w:spacing w:after="60"/>
      </w:pPr>
      <w:r>
        <w:rPr>
          <w:rFonts w:ascii="Arial" w:cs="Arial" w:eastAsia="Arial" w:hAnsi="Arial"/>
          <w:sz w:val="24"/>
          <w:szCs w:val="24"/>
        </w:rPr>
        <w:t xml:space="preserve">Vilken roll spelar källkritisk utbildning i skolan?</w:t>
      </w:r>
    </w:p>
    <w:p>
      <w:pPr>
        <w:pStyle w:val="ListParagraph"/>
        <w:numPr>
          <w:ilvl w:val="0"/>
          <w:numId w:val="2"/>
        </w:numPr>
        <w:spacing w:after="60"/>
      </w:pPr>
      <w:r>
        <w:rPr>
          <w:rFonts w:ascii="Arial" w:cs="Arial" w:eastAsia="Arial" w:hAnsi="Arial"/>
          <w:sz w:val="24"/>
          <w:szCs w:val="24"/>
        </w:rPr>
        <w:t xml:space="preserve">Vad kan unga själva göra för att skydda sig?</w:t>
      </w:r>
    </w:p>
    <w:p>
      <w:r>
        <w:br w:type="page"/>
      </w:r>
    </w:p>
    <w:p>
      <w:pPr>
        <w:pStyle w:val="Heading2"/>
        <w:spacing w:after="120" w:before="240"/>
      </w:pPr>
      <w:r>
        <w:rPr>
          <w:rFonts w:ascii="Arial" w:cs="Arial" w:eastAsia="Arial" w:hAnsi="Arial"/>
          <w:b/>
          <w:bCs/>
          <w:sz w:val="28"/>
          <w:szCs w:val="28"/>
        </w:rPr>
        <w:t xml:space="preserve">Bilaga 3: Bedömningsmatris — Muntlig examination L8</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509"/>
        <w:gridCol w:w="2508"/>
        <w:gridCol w:w="2509"/>
      </w:tblGrid>
      <w:tr>
        <w:tc>
          <w:tcPr>
            <w:tcW w:type="dxa" w:w="15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Kriterium</w:t>
            </w:r>
          </w:p>
        </w:tc>
        <w:tc>
          <w:tcPr>
            <w:tcW w:type="dxa" w:w="2509"/>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E-nivå</w:t>
            </w:r>
          </w:p>
        </w:tc>
        <w:tc>
          <w:tcPr>
            <w:tcW w:type="dxa" w:w="2508"/>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C-nivå</w:t>
            </w:r>
          </w:p>
        </w:tc>
        <w:tc>
          <w:tcPr>
            <w:tcW w:type="dxa" w:w="2509"/>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A-nivå</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Resonemang</w:t>
            </w:r>
          </w:p>
        </w:tc>
        <w:tc>
          <w:tcPr>
            <w:tcW w:type="dxa" w:w="2509"/>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Enkla resonemang utifrån tilldelat perspektiv. Översiktliga kopplingar.</w:t>
            </w:r>
          </w:p>
        </w:tc>
        <w:tc>
          <w:tcPr>
            <w:tcW w:type="dxa" w:w="2508"/>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Välgrundade resonemang. Utförlig analys med visst kritiskt perspektiv. Samband mellan perspektiv.</w:t>
            </w:r>
          </w:p>
        </w:tc>
        <w:tc>
          <w:tcPr>
            <w:tcW w:type="dxa" w:w="2509"/>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Välgrundade och nyanserade resonemang. Utförlig och nyanserad analys ur flera perspektiv med kritiskt förhållningssätt.</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Diskussion</w:t>
            </w:r>
          </w:p>
        </w:tc>
        <w:tc>
          <w:tcPr>
            <w:tcW w:type="dxa" w:w="2509"/>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Lyssnar. Ger enkla kommentarer som anknyter.</w:t>
            </w:r>
          </w:p>
        </w:tc>
        <w:tc>
          <w:tcPr>
            <w:tcW w:type="dxa" w:w="2508"/>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Lyssnar aktivt. Ställer fördjupande frågor. Bygger vidare på andras resonemang.</w:t>
            </w:r>
          </w:p>
        </w:tc>
        <w:tc>
          <w:tcPr>
            <w:tcW w:type="dxa" w:w="2509"/>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Lyssnar aktivt. Driver diskussionen framåt. Syntetiserar andras resonemang med egna komplexa kopplingar.</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Tredjepersons-framing</w:t>
            </w:r>
          </w:p>
        </w:tc>
        <w:tc>
          <w:tcPr>
            <w:tcW w:type="dxa" w:w="2509"/>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Använder i någon mån.</w:t>
            </w:r>
          </w:p>
        </w:tc>
        <w:tc>
          <w:tcPr>
            <w:tcW w:type="dxa" w:w="2508"/>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Använder konsekvent genom hela diskussionen.</w:t>
            </w:r>
          </w:p>
        </w:tc>
        <w:tc>
          <w:tcPr>
            <w:tcW w:type="dxa" w:w="2509"/>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Använder genomgående. Reflekterar över varför hållningen är viktig.</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Språklig säkerhet</w:t>
            </w:r>
          </w:p>
        </w:tc>
        <w:tc>
          <w:tcPr>
            <w:tcW w:type="dxa" w:w="2509"/>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Uttrycker sig med viss språklig säkerhet.</w:t>
            </w:r>
          </w:p>
        </w:tc>
        <w:tc>
          <w:tcPr>
            <w:tcW w:type="dxa" w:w="2508"/>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Uttrycker sig med relativt god språklig säkerhet. Anpassar språket till akademisk diskussion.</w:t>
            </w:r>
          </w:p>
        </w:tc>
        <w:tc>
          <w:tcPr>
            <w:tcW w:type="dxa" w:w="2509"/>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Uttrycker sig med god språklig säkerhet. Bidrar till att höja analytisk nivå.</w:t>
            </w:r>
          </w:p>
        </w:tc>
      </w:tr>
    </w:tbl>
    <w:p>
      <w:r>
        <w:br w:type="page"/>
      </w:r>
    </w:p>
    <w:p>
      <w:pPr>
        <w:pStyle w:val="Heading2"/>
        <w:spacing w:after="120" w:before="240"/>
      </w:pPr>
      <w:r>
        <w:rPr>
          <w:rFonts w:ascii="Arial" w:cs="Arial" w:eastAsia="Arial" w:hAnsi="Arial"/>
          <w:b/>
          <w:bCs/>
          <w:sz w:val="28"/>
          <w:szCs w:val="28"/>
        </w:rPr>
        <w:t xml:space="preserve">Bilaga 4: Lärarens observationsprotokoll</w:t>
      </w:r>
    </w:p>
    <w:p>
      <w:pPr>
        <w:spacing w:after="120"/>
      </w:pPr>
      <w:r>
        <w:rPr>
          <w:rFonts w:ascii="Arial" w:cs="Arial" w:eastAsia="Arial" w:hAnsi="Arial"/>
          <w:sz w:val="24"/>
          <w:szCs w:val="24"/>
        </w:rPr>
        <w:t xml:space="preserve">Använd detta protokoll under seminariet för att notera elevers bidrag. Protokollet är ett stöd — den slutgiltiga bedömningen görs via inspelningen.</w:t>
      </w:r>
    </w:p>
    <w:p>
      <w:pPr>
        <w:spacing w:after="60"/>
      </w:pPr>
    </w:p>
    <w:p>
      <w:pPr>
        <w:spacing w:after="120"/>
      </w:pPr>
      <w:r>
        <w:rPr>
          <w:rFonts w:ascii="Arial" w:cs="Arial" w:eastAsia="Arial" w:hAnsi="Arial"/>
          <w:b/>
          <w:bCs/>
          <w:sz w:val="24"/>
          <w:szCs w:val="24"/>
        </w:rPr>
        <w:t xml:space="preserve">Grupp: </w:t>
      </w:r>
      <w:r>
        <w:rPr>
          <w:rFonts w:ascii="Arial" w:cs="Arial" w:eastAsia="Arial" w:hAnsi="Arial"/>
          <w:sz w:val="24"/>
          <w:szCs w:val="24"/>
        </w:rPr>
        <w:t xml:space="preserve">_______________</w:t>
      </w:r>
    </w:p>
    <w:p>
      <w:pPr>
        <w:spacing w:after="120"/>
      </w:pPr>
      <w:r>
        <w:rPr>
          <w:rFonts w:ascii="Arial" w:cs="Arial" w:eastAsia="Arial" w:hAnsi="Arial"/>
          <w:b/>
          <w:bCs/>
          <w:sz w:val="24"/>
          <w:szCs w:val="24"/>
        </w:rPr>
        <w:t xml:space="preserve">Datum: </w:t>
      </w:r>
      <w:r>
        <w:rPr>
          <w:rFonts w:ascii="Arial" w:cs="Arial" w:eastAsia="Arial" w:hAnsi="Arial"/>
          <w:sz w:val="24"/>
          <w:szCs w:val="24"/>
        </w:rPr>
        <w:t xml:space="preserve">_______________</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26"/>
      </w:tblGrid>
      <w:tr>
        <w:tc>
          <w:tcPr>
            <w:tcW w:type="dxa" w:w="15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Elevnamn</w:t>
            </w:r>
          </w:p>
        </w:tc>
        <w:tc>
          <w:tcPr>
            <w:tcW w:type="dxa" w:w="15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Perspektiv</w:t>
            </w:r>
          </w:p>
        </w:tc>
        <w:tc>
          <w:tcPr>
            <w:tcW w:type="dxa" w:w="15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Bidrar aktivt?</w:t>
            </w:r>
          </w:p>
        </w:tc>
        <w:tc>
          <w:tcPr>
            <w:tcW w:type="dxa" w:w="15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Tredjepersons-framing?</w:t>
            </w:r>
          </w:p>
        </w:tc>
        <w:tc>
          <w:tcPr>
            <w:tcW w:type="dxa" w:w="15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Bygger vidare?</w:t>
            </w:r>
          </w:p>
        </w:tc>
        <w:tc>
          <w:tcPr>
            <w:tcW w:type="dxa" w:w="1526"/>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Anteckningar</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
            </w:r>
          </w:p>
        </w:tc>
        <w:tc>
          <w:tcPr>
            <w:tcW w:type="dxa" w:w="15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
            </w:r>
          </w:p>
        </w:tc>
        <w:tc>
          <w:tcPr>
            <w:tcW w:type="dxa" w:w="15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
            </w:r>
          </w:p>
        </w:tc>
        <w:tc>
          <w:tcPr>
            <w:tcW w:type="dxa" w:w="15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
            </w:r>
          </w:p>
        </w:tc>
        <w:tc>
          <w:tcPr>
            <w:tcW w:type="dxa" w:w="15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
            </w:r>
          </w:p>
        </w:tc>
        <w:tc>
          <w:tcPr>
            <w:tcW w:type="dxa" w:w="15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
            </w:r>
          </w:p>
        </w:tc>
      </w:tr>
    </w:tbl>
    <w:p>
      <w:pPr>
        <w:spacing w:after="60"/>
      </w:pPr>
    </w:p>
    <w:p>
      <w:pPr>
        <w:spacing w:after="120"/>
      </w:pPr>
      <w:r>
        <w:rPr>
          <w:rFonts w:ascii="Arial" w:cs="Arial" w:eastAsia="Arial" w:hAnsi="Arial"/>
          <w:b/>
          <w:bCs/>
          <w:sz w:val="24"/>
          <w:szCs w:val="24"/>
        </w:rPr>
        <w:t xml:space="preserve">Elever som kan behöva privat uppföljning: </w:t>
      </w:r>
      <w:r>
        <w:rPr>
          <w:rFonts w:ascii="Arial" w:cs="Arial" w:eastAsia="Arial" w:hAnsi="Arial"/>
          <w:sz w:val="24"/>
          <w:szCs w:val="24"/>
        </w:rPr>
        <w:t xml:space="preserve"/>
      </w:r>
    </w:p>
    <w:p>
      <w:pPr>
        <w:spacing w:after="120"/>
      </w:pPr>
      <w:r>
        <w:rPr>
          <w:rFonts w:ascii="Arial" w:cs="Arial" w:eastAsia="Arial" w:hAnsi="Arial"/>
          <w:sz w:val="24"/>
          <w:szCs w:val="24"/>
        </w:rPr>
        <w:t xml:space="preserve">_______________________________________________________________</w:t>
      </w:r>
    </w:p>
    <w:p>
      <w:pPr>
        <w:spacing w:after="60"/>
      </w:pPr>
    </w:p>
    <w:p>
      <w:pPr>
        <w:spacing w:after="120"/>
      </w:pPr>
      <w:r>
        <w:rPr>
          <w:rFonts w:ascii="Arial" w:cs="Arial" w:eastAsia="Arial" w:hAnsi="Arial"/>
          <w:b/>
          <w:bCs/>
          <w:sz w:val="24"/>
          <w:szCs w:val="24"/>
        </w:rPr>
        <w:t xml:space="preserve">Övriga observationer: </w:t>
      </w:r>
      <w:r>
        <w:rPr>
          <w:rFonts w:ascii="Arial" w:cs="Arial" w:eastAsia="Arial" w:hAnsi="Arial"/>
          <w:sz w:val="24"/>
          <w:szCs w:val="24"/>
        </w:rPr>
        <w:t xml:space="preserve"/>
      </w:r>
    </w:p>
    <w:p>
      <w:pPr>
        <w:spacing w:after="120"/>
      </w:pPr>
      <w:r>
        <w:rPr>
          <w:rFonts w:ascii="Arial" w:cs="Arial" w:eastAsia="Arial" w:hAnsi="Arial"/>
          <w:sz w:val="24"/>
          <w:szCs w:val="24"/>
        </w:rPr>
        <w:t xml:space="preserve">_______________________________________________________________</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Samhällskunskap 3 / Int. relationer — Källkritik: AI och konspirationsteorier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200"/>
      <w:outlineLvl w:val="1"/>
    </w:pPr>
    <w:rPr>
      <w:rFonts w:ascii="Arial" w:cs="Arial" w:eastAsia="Arial" w:hAnsi="Arial"/>
      <w:b/>
      <w:bCs/>
      <w:color w:val="2C3E50"/>
      <w:sz w:val="28"/>
      <w:szCs w:val="28"/>
    </w:rPr>
  </w:style>
  <w:style w:type="paragraph" w:styleId="Heading3">
    <w:name w:val="Heading 3"/>
    <w:basedOn w:val="Normal"/>
    <w:next w:val="Normal"/>
    <w:qFormat/>
    <w:pPr>
      <w:spacing w:after="80" w:before="180"/>
      <w:outlineLvl w:val="2"/>
    </w:pPr>
    <w:rPr>
      <w:rFonts w:ascii="Arial" w:cs="Arial" w:eastAsia="Arial" w:hAnsi="Arial"/>
      <w:b/>
      <w:bCs/>
      <w:color w:val="34495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2026-03-12T18:43:27.633Z</dcterms:created>
  <dcterms:modified xsi:type="dcterms:W3CDTF">2026-03-12T18:43:27.633Z</dcterms:modified>
</cp:coreProperties>
</file>

<file path=docProps/custom.xml><?xml version="1.0" encoding="utf-8"?>
<Properties xmlns="http://schemas.openxmlformats.org/officeDocument/2006/custom-properties" xmlns:vt="http://schemas.openxmlformats.org/officeDocument/2006/docPropsVTypes"/>
</file>