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Overskrift4"/>
      </w:pPr>
      <w:r>
        <w:t>Forskning</w:t>
      </w:r>
      <w:r w:rsidR="00021D45">
        <w:t>sservice</w:t>
      </w:r>
      <w:r w:rsidR="00021D45">
        <w:tab/>
      </w:r>
      <w:r w:rsidR="00021D45">
        <w:tab/>
      </w:r>
      <w:r w:rsidR="00042861">
        <w:tab/>
      </w:r>
      <w:r w:rsidR="00042861">
        <w:tab/>
      </w:r>
      <w:r w:rsidR="009F30FD">
        <w:t>Dato</w:t>
      </w:r>
      <w:r w:rsidR="00EB786B">
        <w:t xml:space="preserve"> </w:t>
      </w:r>
      <w:r w:rsidR="001945AF">
        <w:t>28</w:t>
      </w:r>
      <w:r w:rsidR="00FA0970">
        <w:t xml:space="preserve">. </w:t>
      </w:r>
      <w:r w:rsidR="001945AF">
        <w:t>november</w:t>
      </w:r>
      <w:r w:rsidR="004737EE">
        <w:t xml:space="preserve"> </w:t>
      </w:r>
      <w:r w:rsidR="009F37A8">
        <w:t>2019</w:t>
      </w:r>
    </w:p>
    <w:p w:rsidR="000A5B2C" w:rsidRDefault="000A5B2C" w:rsidP="00B95029">
      <w:r>
        <w:t xml:space="preserve">Opgave nr. </w:t>
      </w:r>
      <w:r w:rsidR="00D2619F">
        <w:t>70</w:t>
      </w:r>
      <w:r w:rsidR="00480C61">
        <w:t>6582</w:t>
      </w:r>
    </w:p>
    <w:p w:rsidR="006F1173" w:rsidRDefault="006F1173" w:rsidP="00B95029"/>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w:t>
      </w:r>
      <w:bookmarkStart w:id="0" w:name="_GoBack"/>
      <w:bookmarkEnd w:id="0"/>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lastRenderedPageBreak/>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 xml:space="preserve">Projektet ønskes opdateret med to filer.  Den ene indeholder nogle oplysninger om EKG der kan belyse ledningsforstyrrelser i hjertet (EKG) og den anden oplysninger om nogle sygdomsforhold om </w:t>
      </w:r>
      <w:r>
        <w:lastRenderedPageBreak/>
        <w:t>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0A5B2C" w:rsidRDefault="000A5B2C">
      <w:pPr>
        <w:pStyle w:val="Overskrift1"/>
        <w:rPr>
          <w:color w:val="000000"/>
          <w:sz w:val="28"/>
        </w:rPr>
      </w:pPr>
      <w:r>
        <w:rPr>
          <w:color w:val="000000"/>
          <w:sz w:val="28"/>
        </w:rPr>
        <w:t>Indstilling om godkendelse af projekt</w:t>
      </w:r>
    </w:p>
    <w:p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Overskrift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Overskrift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Overskrift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lastRenderedPageBreak/>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Overskrift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Almindeligtekst"/>
        <w:rPr>
          <w:rFonts w:ascii="Arial" w:hAnsi="Arial" w:cs="Arial"/>
          <w:sz w:val="20"/>
          <w:szCs w:val="20"/>
          <w:u w:val="single"/>
        </w:rPr>
      </w:pPr>
    </w:p>
    <w:p w:rsidR="00C409D1" w:rsidRDefault="00C409D1" w:rsidP="00321831">
      <w:pPr>
        <w:pStyle w:val="Almindeligtekst"/>
        <w:rPr>
          <w:rFonts w:ascii="Arial" w:hAnsi="Arial" w:cs="Arial"/>
          <w:sz w:val="20"/>
          <w:szCs w:val="20"/>
          <w:u w:val="single"/>
        </w:rPr>
      </w:pPr>
    </w:p>
    <w:p w:rsidR="00321831" w:rsidRDefault="00321831" w:rsidP="00321831">
      <w:pPr>
        <w:pStyle w:val="Almindeligtekst"/>
        <w:rPr>
          <w:rFonts w:ascii="Arial" w:hAnsi="Arial" w:cs="Arial"/>
          <w:sz w:val="20"/>
          <w:szCs w:val="20"/>
          <w:u w:val="single"/>
        </w:rPr>
      </w:pPr>
    </w:p>
    <w:p w:rsidR="00321831" w:rsidRPr="00C409D1" w:rsidRDefault="00321831" w:rsidP="00321831">
      <w:pPr>
        <w:pStyle w:val="Almindeligteks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Almindeligtekst"/>
        <w:rPr>
          <w:rFonts w:ascii="Arial" w:hAnsi="Arial" w:cs="Arial"/>
          <w:sz w:val="20"/>
          <w:szCs w:val="20"/>
        </w:rPr>
      </w:pP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Antivirale midler til systemisk brug</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lastRenderedPageBreak/>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Almindeligtekst"/>
        <w:rPr>
          <w:rFonts w:ascii="Arial" w:hAnsi="Arial" w:cs="Arial"/>
          <w:sz w:val="20"/>
          <w:szCs w:val="20"/>
        </w:rPr>
      </w:pPr>
    </w:p>
    <w:p w:rsidR="00321831" w:rsidRDefault="00321831" w:rsidP="00321831">
      <w:pPr>
        <w:pStyle w:val="Listeafsnit"/>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eafsnit"/>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lastRenderedPageBreak/>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Overskrift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Mavish Safdar Chaudry</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 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Morten </w:t>
            </w:r>
            <w:proofErr w:type="spellStart"/>
            <w:r w:rsidRPr="00001352">
              <w:rPr>
                <w:sz w:val="20"/>
                <w:szCs w:val="20"/>
              </w:rPr>
              <w:t>Malmborg</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Copenhagen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 xml:space="preserve">Christoffer </w:t>
            </w:r>
            <w:proofErr w:type="spellStart"/>
            <w:r w:rsidRPr="00001352">
              <w:rPr>
                <w:sz w:val="20"/>
                <w:szCs w:val="20"/>
              </w:rPr>
              <w:t>Polcwiartek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Aalborg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Aalborg University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Muzhda Ghanizada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Chief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Rheumatology, </w:t>
            </w:r>
            <w:r w:rsidRPr="00001352">
              <w:rPr>
                <w:sz w:val="20"/>
                <w:szCs w:val="20"/>
                <w:lang w:val="en-US"/>
              </w:rPr>
              <w:lastRenderedPageBreak/>
              <w:t>Aalborg University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Videnscenter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BB08CF"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186" w:rsidRDefault="004C4186">
      <w:r>
        <w:separator/>
      </w:r>
    </w:p>
  </w:endnote>
  <w:endnote w:type="continuationSeparator" w:id="0">
    <w:p w:rsidR="004C4186" w:rsidRDefault="004C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6FD" w:rsidRDefault="009356F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186" w:rsidRDefault="004C4186">
      <w:r>
        <w:separator/>
      </w:r>
    </w:p>
  </w:footnote>
  <w:footnote w:type="continuationSeparator" w:id="0">
    <w:p w:rsidR="004C4186" w:rsidRDefault="004C4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5"/>
  </w:num>
  <w:num w:numId="7">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71C99"/>
    <w:rsid w:val="0007372C"/>
    <w:rsid w:val="000821E7"/>
    <w:rsid w:val="00084C88"/>
    <w:rsid w:val="00094C98"/>
    <w:rsid w:val="0009682A"/>
    <w:rsid w:val="00096A0D"/>
    <w:rsid w:val="000976AD"/>
    <w:rsid w:val="000A5B2C"/>
    <w:rsid w:val="000A7809"/>
    <w:rsid w:val="000B0CDC"/>
    <w:rsid w:val="000B3BA7"/>
    <w:rsid w:val="000B71F1"/>
    <w:rsid w:val="000C2C47"/>
    <w:rsid w:val="000C440A"/>
    <w:rsid w:val="000D5A27"/>
    <w:rsid w:val="000E15F3"/>
    <w:rsid w:val="000F0589"/>
    <w:rsid w:val="000F7EBA"/>
    <w:rsid w:val="00122E1A"/>
    <w:rsid w:val="00126953"/>
    <w:rsid w:val="0017590E"/>
    <w:rsid w:val="00176D16"/>
    <w:rsid w:val="00182D33"/>
    <w:rsid w:val="001837E0"/>
    <w:rsid w:val="001910CF"/>
    <w:rsid w:val="00192EC6"/>
    <w:rsid w:val="001945AF"/>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4186"/>
    <w:rsid w:val="004C6978"/>
    <w:rsid w:val="004D2D65"/>
    <w:rsid w:val="004E7985"/>
    <w:rsid w:val="004F2D60"/>
    <w:rsid w:val="005016BE"/>
    <w:rsid w:val="0052245B"/>
    <w:rsid w:val="005452A9"/>
    <w:rsid w:val="005502C0"/>
    <w:rsid w:val="005506FB"/>
    <w:rsid w:val="00560F8E"/>
    <w:rsid w:val="00571943"/>
    <w:rsid w:val="005734FF"/>
    <w:rsid w:val="00594D9B"/>
    <w:rsid w:val="005B3ED3"/>
    <w:rsid w:val="005C332E"/>
    <w:rsid w:val="005D00A4"/>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6001"/>
    <w:rsid w:val="00731D79"/>
    <w:rsid w:val="00733446"/>
    <w:rsid w:val="00741D78"/>
    <w:rsid w:val="007601D5"/>
    <w:rsid w:val="00762C9C"/>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7FD3"/>
    <w:rsid w:val="009A6000"/>
    <w:rsid w:val="009B2B68"/>
    <w:rsid w:val="009B4444"/>
    <w:rsid w:val="009B4812"/>
    <w:rsid w:val="009C22A6"/>
    <w:rsid w:val="009D4EBF"/>
    <w:rsid w:val="009D605F"/>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A0E56"/>
    <w:rsid w:val="00BA5AD4"/>
    <w:rsid w:val="00BA7CA3"/>
    <w:rsid w:val="00BB08CF"/>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C16BB"/>
    <w:rsid w:val="00CD4937"/>
    <w:rsid w:val="00D067D8"/>
    <w:rsid w:val="00D15575"/>
    <w:rsid w:val="00D220F3"/>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44D3"/>
    <w:rsid w:val="00DC6DB2"/>
    <w:rsid w:val="00DD4E88"/>
    <w:rsid w:val="00DF645C"/>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640CD7"/>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2615</Words>
  <Characters>15953</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11</cp:revision>
  <cp:lastPrinted>2012-02-08T07:58:00Z</cp:lastPrinted>
  <dcterms:created xsi:type="dcterms:W3CDTF">2019-04-10T10:11:00Z</dcterms:created>
  <dcterms:modified xsi:type="dcterms:W3CDTF">2019-11-28T12:45:00Z</dcterms:modified>
</cp:coreProperties>
</file>